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416" w:lineRule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bookmarkStart w:id="4" w:name="_GoBack"/>
      <w:bookmarkEnd w:id="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1</w:t>
      </w: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楷体_GB2312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 w:eastAsia="华文中宋" w:cs="Times New Roman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  <w:t>××</w:t>
      </w:r>
      <w:r>
        <w:rPr>
          <w:rFonts w:hint="default" w:ascii="Times New Roman" w:hAnsi="Times New Roman" w:eastAsia="华文中宋" w:cs="Times New Roman"/>
          <w:color w:val="auto"/>
          <w:sz w:val="52"/>
          <w:szCs w:val="52"/>
          <w:highlight w:val="none"/>
        </w:rPr>
        <w:t>年度</w:t>
      </w: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  <w:t>××</w:t>
      </w:r>
      <w:r>
        <w:rPr>
          <w:rFonts w:hint="default" w:ascii="Times New Roman" w:hAnsi="Times New Roman" w:eastAsia="华文中宋" w:cs="Times New Roman"/>
          <w:color w:val="auto"/>
          <w:sz w:val="52"/>
          <w:szCs w:val="52"/>
          <w:highlight w:val="none"/>
        </w:rPr>
        <w:t>省（市、县）</w:t>
      </w:r>
    </w:p>
    <w:p>
      <w:pPr>
        <w:jc w:val="center"/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  <w:lang w:val="en-US" w:eastAsia="zh-CN"/>
        </w:rPr>
        <w:t>本级</w:t>
      </w:r>
      <w:r>
        <w:rPr>
          <w:rFonts w:hint="default" w:ascii="Times New Roman" w:hAnsi="Times New Roman" w:eastAsia="华文中宋" w:cs="Times New Roman"/>
          <w:bCs/>
          <w:color w:val="auto"/>
          <w:sz w:val="52"/>
          <w:szCs w:val="52"/>
          <w:highlight w:val="none"/>
        </w:rPr>
        <w:t>政府综合财务报告</w:t>
      </w:r>
    </w:p>
    <w:p>
      <w:pPr>
        <w:pStyle w:val="9"/>
        <w:ind w:left="0" w:leftChars="0" w:firstLine="0" w:firstLineChars="0"/>
        <w:jc w:val="center"/>
        <w:rPr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样式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</w:p>
    <w:p>
      <w:pPr>
        <w:jc w:val="center"/>
        <w:rPr>
          <w:rFonts w:ascii="Times New Roman" w:hAnsi="Times New Roman" w:eastAsia="微软雅黑"/>
          <w:b/>
          <w:bCs/>
          <w:color w:val="auto"/>
          <w:sz w:val="52"/>
          <w:szCs w:val="52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36"/>
          <w:highlight w:val="none"/>
        </w:rPr>
      </w:pPr>
    </w:p>
    <w:p>
      <w:pPr>
        <w:ind w:firstLine="1050" w:firstLineChars="350"/>
        <w:rPr>
          <w:rFonts w:ascii="Times New Roman" w:hAnsi="Times New Roman" w:eastAsia="宋体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报送单位：（公章）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单位负责人：（签名并盖章）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处室负责人：（签名并盖章）</w:t>
      </w:r>
    </w:p>
    <w:p>
      <w:pPr>
        <w:ind w:firstLine="1050" w:firstLineChars="350"/>
        <w:rPr>
          <w:rFonts w:ascii="Times New Roman" w:hAnsi="Times New Roman" w:eastAsia="宋体" w:cs="Times New Roman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编制人：（签章）</w:t>
      </w:r>
    </w:p>
    <w:p>
      <w:pPr>
        <w:ind w:firstLine="1050" w:firstLineChars="350"/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30"/>
          <w:szCs w:val="30"/>
          <w:highlight w:val="none"/>
        </w:rPr>
        <w:t>报送日期：  年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36"/>
          <w:szCs w:val="36"/>
          <w:highlight w:val="none"/>
        </w:rPr>
        <w:t>简 要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根据政府会计准则制度规定及财政财务管理需要，对《财政部关于修订印发〈政府综合财务报告编制操作指南〉的通知》（财库〔</w:t>
      </w:r>
      <w:r>
        <w:rPr>
          <w:rFonts w:hint="default" w:ascii="Times New Roman" w:hAnsi="Times New Roman" w:cs="Times New Roman" w:eastAsiaTheme="majorEastAsia"/>
          <w:color w:val="auto"/>
          <w:sz w:val="30"/>
          <w:szCs w:val="30"/>
          <w:highlight w:val="none"/>
        </w:rPr>
        <w:t>20</w:t>
      </w:r>
      <w:r>
        <w:rPr>
          <w:rFonts w:hint="default" w:ascii="Times New Roman" w:hAnsi="Times New Roman" w:cs="Times New Roman" w:eastAsiaTheme="majorEastAsia"/>
          <w:color w:val="auto"/>
          <w:sz w:val="30"/>
          <w:szCs w:val="30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〕</w:t>
      </w:r>
      <w:r>
        <w:rPr>
          <w:rFonts w:hint="default" w:ascii="Times New Roman" w:hAnsi="Times New Roman" w:cs="Times New Roman" w:eastAsiaTheme="majorEastAsia"/>
          <w:color w:val="auto"/>
          <w:sz w:val="30"/>
          <w:szCs w:val="30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号）规定的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报告样式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一、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将资产负债表中“文物文化资产”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修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改为“文物资源”；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固定资产明细表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中“文物和陈列品”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修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改为“陈列品”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将附注“政府部门管理的公共基础设施、文物文化资产、保障性住房、自然资源资产等重要资产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种类和实物量等相关信息”中“文物文化资产”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修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改为“文物资源”。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Style w:val="21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、完善“应收及预付款项明细表”、“应付及预收款项明细表”，增加反映中央财政和地方财政之间的应收应付情况。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三、增加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“长期股权投资明细表”，细化反映政府长期股权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投资的构成以及变动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调整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公共基础设施明细表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（原值）”、“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公共基础设施明细表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（累计折旧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/摊销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）”、“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公共基础设施明细表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（净值）”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中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水利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</w:rPr>
        <w:t>基础设施的分类。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、调整“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保障性住房</w:t>
      </w:r>
      <w:r>
        <w:rPr>
          <w:rFonts w:hint="eastAsia" w:ascii="仿宋_GB2312" w:hAnsi="仿宋_GB2312" w:eastAsia="仿宋_GB2312" w:cs="仿宋_GB2312"/>
          <w:sz w:val="30"/>
          <w:szCs w:val="30"/>
        </w:rPr>
        <w:t>明细表”分类。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完善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“政府间转移性收入明细表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”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“政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府间转移性费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用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val="en" w:eastAsia="zh-CN"/>
        </w:rPr>
        <w:t>明细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表”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，细化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反映地区间援助收入、费用情况。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调整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“财政总会计资产负债表”，增加“专项债券偿债备付金”项目；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调整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“财政总会计收入费用表”，增加“区域间转移性收入”、“区域间转移性费用”项目。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default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八、完善附注“社保基金情况表”，对社保基金种类、名称等进行了统一规范。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val="en-US" w:eastAsia="zh-CN"/>
        </w:rPr>
        <w:t>九、增加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“省级及以下财政拨付给中央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的相关费用明细表”</w:t>
      </w:r>
      <w:r>
        <w:rPr>
          <w:rFonts w:hint="eastAsia" w:ascii="Times New Roman" w:hAnsi="Times New Roman" w:cs="Times New Roman"/>
          <w:color w:val="auto"/>
          <w:spacing w:val="-2"/>
          <w:kern w:val="2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16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本说明仅供编制报告使用，无须与报告正文一并报送。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Times New Roman" w:hAnsi="Times New Roman"/>
          <w:color w:val="auto"/>
          <w:highlight w:val="none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color w:val="auto"/>
          <w:highlight w:val="none"/>
          <w:lang w:eastAsia="zh-CN"/>
        </w:rPr>
        <w:sectPr>
          <w:footerReference r:id="rId4" w:type="default"/>
          <w:pgSz w:w="11906" w:h="16838"/>
          <w:pgMar w:top="1701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 w:val="0"/>
        <w:jc w:val="center"/>
        <w:rPr>
          <w:rFonts w:hint="default" w:ascii="Times New Roman" w:hAnsi="Times New Roman" w:eastAsia="等线" w:cs="Times New Roman"/>
          <w:b/>
          <w:color w:val="auto"/>
          <w:kern w:val="16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kern w:val="16"/>
          <w:sz w:val="36"/>
          <w:szCs w:val="36"/>
          <w:highlight w:val="none"/>
        </w:rPr>
        <w:t>目  录</w:t>
      </w:r>
    </w:p>
    <w:p>
      <w:pPr>
        <w:pStyle w:val="15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导言</w:t>
      </w:r>
      <w:r>
        <w:rPr>
          <w:rFonts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1</w:t>
      </w:r>
    </w:p>
    <w:p>
      <w:pPr>
        <w:pStyle w:val="15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一、政府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综合</w:t>
      </w: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财务报表</w:t>
      </w:r>
      <w:r>
        <w:rPr>
          <w:rFonts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 w:eastAsia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3</w:t>
      </w:r>
    </w:p>
    <w:p>
      <w:pPr>
        <w:pStyle w:val="13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/>
          <w:smallCaps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/>
          <w:smallCaps/>
          <w:color w:val="auto"/>
          <w:kern w:val="2"/>
          <w:sz w:val="24"/>
          <w:szCs w:val="24"/>
          <w:highlight w:val="none"/>
          <w:lang w:eastAsia="zh-CN"/>
        </w:rPr>
        <w:t>政府综合</w:t>
      </w: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会计报表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3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资产负债表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收入费用表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5</w:t>
      </w:r>
    </w:p>
    <w:p>
      <w:pPr>
        <w:pStyle w:val="13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（二）</w:t>
      </w:r>
      <w:r>
        <w:rPr>
          <w:rFonts w:hint="default" w:ascii="Times New Roman" w:hAnsi="Times New Roman" w:eastAsia="宋体"/>
          <w:smallCaps/>
          <w:color w:val="auto"/>
          <w:kern w:val="2"/>
          <w:sz w:val="24"/>
          <w:szCs w:val="24"/>
          <w:highlight w:val="none"/>
          <w:lang w:eastAsia="zh-CN"/>
        </w:rPr>
        <w:t>政府综合</w:t>
      </w:r>
      <w:r>
        <w:rPr>
          <w:rFonts w:ascii="Times New Roman" w:hAnsi="Times New Roman" w:eastAsia="宋体"/>
          <w:smallCaps/>
          <w:color w:val="auto"/>
          <w:kern w:val="2"/>
          <w:sz w:val="24"/>
          <w:szCs w:val="24"/>
          <w:highlight w:val="none"/>
        </w:rPr>
        <w:t>会计报表附注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1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会计报表编制基础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2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遵循相关制度规定的声明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3.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会计报表的合并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范围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4.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重要会计政策与会计估计变更情况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5.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会计报表重要项目明</w:t>
      </w:r>
      <w:bookmarkStart w:id="0" w:name="_Hlt23360921"/>
      <w:bookmarkStart w:id="1" w:name="_Hlt23360922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细</w:t>
      </w:r>
      <w:bookmarkEnd w:id="0"/>
      <w:bookmarkEnd w:id="1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信息及说明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13"/>
        <w:tabs>
          <w:tab w:val="right" w:leader="dot" w:pos="8296"/>
        </w:tabs>
        <w:spacing w:line="520" w:lineRule="exact"/>
        <w:ind w:left="0" w:firstLine="960" w:firstLineChars="400"/>
        <w:jc w:val="both"/>
        <w:rPr>
          <w:rFonts w:hint="default" w:ascii="Times New Roman" w:hAnsi="Times New Roman"/>
          <w:color w:val="auto"/>
          <w:sz w:val="24"/>
          <w:szCs w:val="24"/>
          <w:highlight w:val="none"/>
          <w:lang w:val="en-US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需要说明的其他事项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25</w:t>
      </w:r>
    </w:p>
    <w:p>
      <w:pPr>
        <w:pStyle w:val="15"/>
        <w:tabs>
          <w:tab w:val="right" w:leader="dot" w:pos="8296"/>
        </w:tabs>
        <w:spacing w:line="520" w:lineRule="exact"/>
        <w:rPr>
          <w:rFonts w:hint="default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二、政府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财政经济</w:t>
      </w: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分析</w:t>
      </w:r>
      <w:r>
        <w:rPr>
          <w:rFonts w:hint="eastAsia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）政府财务状况分</w:t>
      </w:r>
      <w:bookmarkStart w:id="2" w:name="_Hlt17827067"/>
      <w:bookmarkStart w:id="3" w:name="_Hlt17827068"/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析</w:t>
      </w:r>
      <w:bookmarkEnd w:id="2"/>
      <w:bookmarkEnd w:id="3"/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26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）政府运行情况分析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26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jc w:val="both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财政中长期可持续性分析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26</w:t>
      </w:r>
    </w:p>
    <w:p>
      <w:pPr>
        <w:pStyle w:val="15"/>
        <w:tabs>
          <w:tab w:val="right" w:leader="dot" w:pos="8296"/>
        </w:tabs>
        <w:spacing w:line="520" w:lineRule="exact"/>
        <w:rPr>
          <w:rFonts w:hint="default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三</w:t>
      </w:r>
      <w:r>
        <w:rPr>
          <w:rFonts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、政府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财政财务管理情况</w:t>
      </w:r>
      <w:r>
        <w:rPr>
          <w:rFonts w:hint="eastAsia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预算管理情况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b w:val="0"/>
          <w:bCs w:val="0"/>
          <w:i w:val="0"/>
          <w:iCs w:val="0"/>
          <w:smallCaps w:val="0"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rPr>
          <w:rFonts w:hint="default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）政府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资产负债管理情况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26</w:t>
      </w:r>
    </w:p>
    <w:p>
      <w:pPr>
        <w:pStyle w:val="8"/>
        <w:tabs>
          <w:tab w:val="right" w:leader="dot" w:pos="8296"/>
        </w:tabs>
        <w:spacing w:line="520" w:lineRule="exact"/>
        <w:ind w:left="0" w:firstLine="480" w:firstLineChars="200"/>
        <w:jc w:val="both"/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lang w:eastAsia="zh-CN"/>
        </w:rPr>
        <w:t>政府收支管理情况</w:t>
      </w:r>
      <w:r>
        <w:rPr>
          <w:rFonts w:hint="eastAsia" w:ascii="Times New Roman" w:hAnsi="Times New Roman" w:eastAsia="仿宋_GB2312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eastAsia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26</w:t>
      </w:r>
    </w:p>
    <w:p>
      <w:pPr>
        <w:pStyle w:val="15"/>
        <w:tabs>
          <w:tab w:val="right" w:leader="dot" w:pos="8296"/>
        </w:tabs>
        <w:spacing w:line="520" w:lineRule="exact"/>
        <w:ind w:left="0" w:firstLine="240" w:firstLineChars="100"/>
        <w:rPr>
          <w:rFonts w:hint="default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eastAsia="zh-CN"/>
        </w:rPr>
        <w:t>附：补充报表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</w:rPr>
        <w:tab/>
      </w:r>
      <w:r>
        <w:rPr>
          <w:rFonts w:hint="default" w:ascii="Times New Roman" w:hAnsi="Times New Roman" w:eastAsia="黑体"/>
          <w:b w:val="0"/>
          <w:bCs w:val="0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/>
          <w:b w:val="0"/>
          <w:bCs w:val="0"/>
          <w:i w:val="0"/>
          <w:iCs w:val="0"/>
          <w:smallCaps/>
          <w:color w:val="auto"/>
          <w:sz w:val="24"/>
          <w:szCs w:val="24"/>
          <w:highlight w:val="none"/>
          <w:lang w:val="en-US" w:eastAsia="zh-CN"/>
        </w:rPr>
        <w:t>7</w:t>
      </w:r>
    </w:p>
    <w:p>
      <w:pPr>
        <w:pStyle w:val="8"/>
        <w:tabs>
          <w:tab w:val="right" w:leader="dot" w:pos="8296"/>
        </w:tabs>
        <w:spacing w:line="240" w:lineRule="auto"/>
        <w:ind w:left="0" w:firstLine="480" w:firstLineChars="200"/>
        <w:jc w:val="both"/>
        <w:rPr>
          <w:rFonts w:hint="default" w:ascii="Times New Roman" w:hAnsi="Times New Roman"/>
          <w:i w:val="0"/>
          <w:iCs w:val="0"/>
          <w:caps/>
          <w:smallCaps/>
          <w:color w:val="auto"/>
          <w:sz w:val="24"/>
          <w:szCs w:val="24"/>
          <w:highlight w:val="none"/>
          <w:lang w:val="en-US" w:eastAsia="zh-CN"/>
        </w:rPr>
      </w:pPr>
    </w:p>
    <w:p>
      <w:pPr>
        <w:ind w:firstLine="0" w:firstLineChars="0"/>
        <w:rPr>
          <w:rFonts w:hint="default" w:ascii="Times New Roman" w:hAnsi="Times New Roman" w:eastAsia="黑体" w:cs="Times New Roman"/>
          <w:caps/>
          <w:smallCaps/>
          <w:color w:val="auto"/>
          <w:sz w:val="24"/>
          <w:szCs w:val="24"/>
          <w:highlight w:val="none"/>
          <w:lang w:eastAsia="zh-CN"/>
        </w:rPr>
        <w:sectPr>
          <w:footerReference r:id="rId5" w:type="default"/>
          <w:pgSz w:w="11906" w:h="16838"/>
          <w:pgMar w:top="1701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line="560" w:lineRule="exact"/>
        <w:jc w:val="center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黑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导 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言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根据预算法第九十七条规定，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省（市、县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区）财政厅（局）</w:t>
      </w:r>
    </w:p>
    <w:p>
      <w:pPr>
        <w:keepNext w:val="0"/>
        <w:keepLines w:val="0"/>
        <w:widowControl w:val="0"/>
        <w:suppressLineNumbers w:val="0"/>
        <w:spacing w:line="560" w:lineRule="exact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组织编制了《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年度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本级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政府综合财务报告》（以下简称《报告》）。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……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，简要情况如下：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（一）《报告》编制基本情况</w:t>
      </w:r>
      <w:r>
        <w:rPr>
          <w:rFonts w:hint="eastAsia"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line="560" w:lineRule="exact"/>
        <w:ind w:left="600" w:leftChars="200" w:firstLine="0" w:firstLineChars="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概述编制依据、编制基础、主要内容、合并范围、合并方法等。</w:t>
      </w: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（二）政府财务状况和运行简况</w:t>
      </w:r>
      <w:r>
        <w:rPr>
          <w:rFonts w:hint="eastAsia"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Times New Roman" w:hAnsi="Times New Roman" w:eastAsia="楷体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2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资产负债情况。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年末政府资产总额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元、负债总额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元、净资产总额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元。资产负债率为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××%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，较上年增长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下降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个百分点，表明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……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ind w:firstLine="60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政府资产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简要说明主要资产金额、占比以及变化情况等。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）政府负债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简要说明主要负债金额、占比以及变化情况等。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2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2.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收入费用情况。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年度政府收入总额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元，费用总额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 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元，收入费用相抵后本年盈余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万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元。收入费用率为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××%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，较上年增长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/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下降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个百分点，表明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……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）政府收入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简要说明主要收入金额、占比以及变化情况等。 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）政府费用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line="560" w:lineRule="exact"/>
        <w:ind w:firstLine="600" w:firstLineChars="200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简要说明主要费用金额、占比以及变化情况等。 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与决算收支的差异。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简要说明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《报告》反映的收入费用与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财政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决算反映的收入支出的主要差异情况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pStyle w:val="9"/>
        <w:rPr>
          <w:highlight w:val="none"/>
        </w:rPr>
      </w:pPr>
    </w:p>
    <w:p>
      <w:pPr>
        <w:pStyle w:val="4"/>
        <w:keepNext w:val="0"/>
        <w:keepLines w:val="0"/>
        <w:widowControl w:val="0"/>
        <w:spacing w:before="0" w:beforeLines="0" w:after="0" w:afterLines="0" w:line="560" w:lineRule="exact"/>
        <w:ind w:firstLine="600" w:firstLineChars="200"/>
        <w:jc w:val="both"/>
        <w:rPr>
          <w:rFonts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</w:rPr>
        <w:t>一、政府综合财务报表</w:t>
      </w:r>
    </w:p>
    <w:p>
      <w:pPr>
        <w:pStyle w:val="5"/>
        <w:keepNext w:val="0"/>
        <w:keepLines w:val="0"/>
        <w:widowControl w:val="0"/>
        <w:spacing w:beforeLines="0" w:afterLines="0" w:line="560" w:lineRule="exact"/>
        <w:ind w:firstLine="600" w:firstLineChars="200"/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</w:rPr>
        <w:t>（一）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eastAsia="zh-CN"/>
        </w:rPr>
        <w:t>政府综合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</w:rPr>
        <w:t>会计报表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eastAsia="zh-CN"/>
        </w:rPr>
        <w:t>。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  <w:t>表1</w:t>
      </w:r>
    </w:p>
    <w:tbl>
      <w:tblPr>
        <w:tblStyle w:val="18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2"/>
        <w:gridCol w:w="1027"/>
        <w:gridCol w:w="2305"/>
        <w:gridCol w:w="24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</w:rPr>
              <w:t>资产负债表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1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编制单位：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附注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流动资产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货币资金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短期投资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应收非税收入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应收及预付款项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附表2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应收股利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应收利息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存货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一年内到期的非流动资产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非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长期投资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附表4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应收转贷款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附表5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固定资产净值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附表6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在建工程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附表7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无形资产净值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附表8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研发支出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公共基础设施净值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附表9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政府储备物资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附表10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文物资源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保障性住房净值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其他非流动资产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受托代理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资产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资产合计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</w:pPr>
    </w:p>
    <w:tbl>
      <w:tblPr>
        <w:tblStyle w:val="18"/>
        <w:tblW w:w="9060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36"/>
        <w:gridCol w:w="1086"/>
        <w:gridCol w:w="2295"/>
        <w:gridCol w:w="2343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highlight w:val="none"/>
              </w:rPr>
              <w:t>表1-续表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</w:rPr>
              <w:t>资产负债表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90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编制单位：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附注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流动负债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应付短期政府债券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短期借款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应付职工薪酬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应付及预收款项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应付政府补贴款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应付利息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一年内到期的非流动负债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非流动负债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应付长期政府债券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应付转贷款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长期借款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长期应付款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其他非流动负债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受托代理负债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负债合计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净资产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负债及净资产合计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spacing w:line="240" w:lineRule="auto"/>
        <w:jc w:val="left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highlight w:val="none"/>
        </w:rPr>
        <w:t>表2</w:t>
      </w:r>
    </w:p>
    <w:p>
      <w:pPr>
        <w:jc w:val="center"/>
        <w:rPr>
          <w:rFonts w:ascii="Times New Roman" w:hAnsi="Times New Roman" w:cs="Times New Roman"/>
          <w:color w:val="auto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收入费用表</w:t>
      </w:r>
    </w:p>
    <w:tbl>
      <w:tblPr>
        <w:tblStyle w:val="18"/>
        <w:tblW w:w="90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96"/>
        <w:gridCol w:w="1282"/>
        <w:gridCol w:w="2047"/>
        <w:gridCol w:w="21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编制单位：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</w:t>
            </w:r>
          </w:p>
        </w:tc>
        <w:tc>
          <w:tcPr>
            <w:tcW w:w="41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附注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税收收入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非税收入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事业收入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经营收入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投资收益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政府间转移性收入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其他收入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收入合计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工资福利费用</w:t>
            </w: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商品和服务费用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对个人和家庭的补助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对企业补助费用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对社会保障基金补助费用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政府间转移性费用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8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固定资产折旧费用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无形资产摊销费用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公共基础设施折旧（摊销）费用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保障性住房折旧费用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资产处置费用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财务费用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35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其他费用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费用合计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5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本年盈余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szCs w:val="30"/>
          <w:highlight w:val="none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</w:pP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Times New Roman" w:hAnsi="Times New Roman" w:eastAsia="楷体_GB2312"/>
          <w:bCs/>
          <w:color w:val="auto"/>
          <w:kern w:val="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  <w:t>（二）政府</w:t>
      </w:r>
      <w:r>
        <w:rPr>
          <w:rFonts w:hint="eastAsia" w:ascii="Times New Roman" w:hAnsi="Times New Roman" w:eastAsia="楷体_GB2312"/>
          <w:bCs/>
          <w:color w:val="auto"/>
          <w:kern w:val="2"/>
          <w:szCs w:val="32"/>
          <w:highlight w:val="none"/>
          <w:lang w:eastAsia="zh-CN"/>
        </w:rPr>
        <w:t>综合</w:t>
      </w:r>
      <w:r>
        <w:rPr>
          <w:rFonts w:hint="default" w:ascii="Times New Roman" w:hAnsi="Times New Roman" w:eastAsia="楷体_GB2312"/>
          <w:bCs/>
          <w:color w:val="auto"/>
          <w:kern w:val="2"/>
          <w:szCs w:val="32"/>
          <w:highlight w:val="none"/>
        </w:rPr>
        <w:t>会计报表附注</w:t>
      </w:r>
      <w:r>
        <w:rPr>
          <w:rFonts w:hint="eastAsia" w:ascii="Times New Roman" w:hAnsi="Times New Roman" w:eastAsia="楷体_GB2312"/>
          <w:bCs/>
          <w:color w:val="auto"/>
          <w:kern w:val="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1.会计报表编制基础。（略）</w:t>
      </w:r>
    </w:p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2.遵循相关制度规定的声明。（略）</w:t>
      </w:r>
    </w:p>
    <w:p>
      <w:pPr>
        <w:spacing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3.</w:t>
      </w:r>
      <w:r>
        <w:rPr>
          <w:rFonts w:hint="eastAsia" w:ascii="Times New Roman" w:hAnsi="Times New Roman"/>
          <w:b/>
          <w:bCs/>
          <w:color w:val="auto"/>
          <w:szCs w:val="30"/>
          <w:highlight w:val="none"/>
          <w:lang w:eastAsia="zh-CN"/>
        </w:rPr>
        <w:t>会计报表的合并</w:t>
      </w: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范围。</w:t>
      </w:r>
    </w:p>
    <w:p>
      <w:pPr>
        <w:pStyle w:val="9"/>
        <w:spacing w:after="0" w:line="560" w:lineRule="exact"/>
        <w:ind w:left="0" w:leftChars="0" w:firstLine="600" w:firstLineChars="200"/>
        <w:rPr>
          <w:rFonts w:hint="eastAsia" w:ascii="Times New Roman" w:hAnsi="Times New Roman" w:eastAsia="仿宋_GB2312"/>
          <w:b/>
          <w:bCs/>
          <w:color w:val="auto"/>
          <w:szCs w:val="30"/>
          <w:highlight w:val="none"/>
          <w:lang w:eastAsia="zh-CN"/>
        </w:rPr>
      </w:pPr>
      <w:r>
        <w:rPr>
          <w:rFonts w:hint="default" w:ascii="Times New Roman" w:hAnsi="Times New Roman"/>
          <w:color w:val="auto"/>
          <w:szCs w:val="30"/>
          <w:highlight w:val="none"/>
        </w:rPr>
        <w:t>纳入政府综合财务报告编报范围的部门</w:t>
      </w:r>
      <w:r>
        <w:rPr>
          <w:rFonts w:hint="default" w:ascii="Times New Roman" w:hAnsi="Times New Roman"/>
          <w:color w:val="auto"/>
          <w:szCs w:val="30"/>
          <w:highlight w:val="none"/>
          <w:lang w:eastAsia="zh-CN"/>
        </w:rPr>
        <w:t>情况如下表（如部门数量较多，可将该表作为报告附件列示）。</w:t>
      </w:r>
    </w:p>
    <w:tbl>
      <w:tblPr>
        <w:tblStyle w:val="18"/>
        <w:tblW w:w="84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8"/>
        <w:gridCol w:w="2733"/>
        <w:gridCol w:w="1892"/>
        <w:gridCol w:w="26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</w:trPr>
        <w:tc>
          <w:tcPr>
            <w:tcW w:w="8480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部门清单</w:t>
            </w:r>
          </w:p>
          <w:p>
            <w:pPr>
              <w:keepNext/>
              <w:keepLines/>
              <w:widowControl/>
              <w:spacing w:before="340" w:after="330" w:line="576" w:lineRule="auto"/>
              <w:jc w:val="center"/>
              <w:textAlignment w:val="bottom"/>
              <w:outlineLvl w:val="0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部门名称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所属单位（个数）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实有人数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"/>
              </w:rPr>
              <w:t>1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.....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</w:trPr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spacing w:beforeLines="0" w:afterLines="0" w:line="560" w:lineRule="exact"/>
        <w:ind w:firstLine="640"/>
        <w:rPr>
          <w:rFonts w:hint="default" w:ascii="Times New Roman" w:hAnsi="Times New Roman"/>
          <w:b/>
          <w:bCs/>
          <w:color w:val="auto"/>
          <w:szCs w:val="30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30"/>
          <w:highlight w:val="none"/>
        </w:rPr>
        <w:t>4.重要会计政策与会计估计变更情况。（略）</w:t>
      </w:r>
    </w:p>
    <w:p>
      <w:pPr>
        <w:spacing w:beforeLines="0" w:afterLines="0" w:line="560" w:lineRule="exact"/>
        <w:ind w:left="0" w:leftChars="0" w:firstLine="602" w:firstLineChars="0"/>
        <w:rPr>
          <w:rFonts w:hint="eastAsia" w:ascii="Times New Roman" w:hAnsi="Times New Roman"/>
          <w:b/>
          <w:bCs/>
          <w:color w:val="auto"/>
          <w:szCs w:val="30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Cs w:val="30"/>
          <w:highlight w:val="none"/>
          <w:lang w:val="en-US" w:eastAsia="zh-CN"/>
        </w:rPr>
        <w:t>5.会计报表重要项目明细信息及说明。</w:t>
      </w:r>
    </w:p>
    <w:p>
      <w:pPr>
        <w:spacing w:before="0" w:beforeLines="0" w:after="0" w:afterLines="0" w:afterAutospacing="0" w:line="560" w:lineRule="exac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）货币资金明细信息如下：</w:t>
      </w:r>
    </w:p>
    <w:tbl>
      <w:tblPr>
        <w:tblStyle w:val="18"/>
        <w:tblW w:w="8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5"/>
        <w:gridCol w:w="2830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货币资金明细表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287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6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283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2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库存现金</w:t>
            </w: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国库存款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国库现金管理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资产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其他财政存款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银行存款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其中：土地储备资金存款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25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其他货币资金</w:t>
            </w: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25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0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spacing w:before="0" w:beforeLines="0" w:after="100" w:afterLines="0" w:afterAutospacing="1" w:line="588" w:lineRule="atLeas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）应收及预付款项明细信息如下：</w:t>
      </w: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9"/>
        <w:gridCol w:w="2615"/>
        <w:gridCol w:w="28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lef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83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应收及预付款项明细表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财政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其中：应收中央财政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款项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政府部门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本表反映被合并主体抵销后的应收及预付款项金额。</w:t>
            </w:r>
          </w:p>
          <w:p>
            <w:pPr>
              <w:widowControl/>
              <w:ind w:left="0" w:leftChars="0" w:firstLine="40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本表“财政”指承担核算财政预算资金等职能的政府财政部门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（下同），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应收中央财政款项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”</w:t>
            </w:r>
          </w:p>
          <w:p>
            <w:pPr>
              <w:widowControl/>
              <w:ind w:left="0" w:leftChars="0" w:firstLine="40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由省级财政部门根据财政总会计“与上级往来”科目的期末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借方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余额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填列。</w:t>
            </w:r>
          </w:p>
          <w:p>
            <w:pPr>
              <w:widowControl/>
              <w:ind w:left="396" w:leftChars="132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本表“政府部门”指纳入本级政府综合财务报告合并范围的部门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（下同）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。</w:t>
            </w:r>
          </w:p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本表“其他”指土地储备资金等资金主体。</w:t>
            </w:r>
          </w:p>
        </w:tc>
      </w:tr>
    </w:tbl>
    <w:p>
      <w:pPr>
        <w:spacing w:before="0" w:beforeLines="0" w:after="100" w:afterLines="0" w:afterAutospacing="1" w:line="588" w:lineRule="atLeas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）一年内到期的非流动资产明细信息如下：</w:t>
      </w:r>
    </w:p>
    <w:tbl>
      <w:tblPr>
        <w:tblStyle w:val="18"/>
        <w:tblW w:w="83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42"/>
        <w:gridCol w:w="2033"/>
        <w:gridCol w:w="19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3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3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一年内到期的非流动资产明细表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3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4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财政</w:t>
            </w:r>
          </w:p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其中：应收地方政府债券转贷款（1年内到期）</w:t>
            </w:r>
          </w:p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  应收主权外债转贷款（1年内到期）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政府部门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43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spacing w:before="0" w:beforeLines="0" w:after="100" w:afterLines="0" w:afterAutospacing="1" w:line="588" w:lineRule="atLeas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before="0" w:beforeLines="0" w:after="100" w:afterLines="0" w:afterAutospacing="1" w:line="588" w:lineRule="atLeas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4）长期投资及投资收益明细表如下：</w:t>
      </w:r>
    </w:p>
    <w:tbl>
      <w:tblPr>
        <w:tblStyle w:val="18"/>
        <w:tblW w:w="83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highlight w:val="none"/>
              </w:rPr>
              <w:t>附表4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2"/>
                <w:highlight w:val="none"/>
                <w:lang w:val="en-US" w:eastAsia="zh-CN"/>
              </w:rPr>
              <w:t>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长期投资及投资收益明细表</w:t>
            </w:r>
          </w:p>
        </w:tc>
      </w:tr>
    </w:tbl>
    <w:p>
      <w:pPr>
        <w:jc w:val="center"/>
        <w:rPr>
          <w:rFonts w:ascii="Times New Roman" w:hAnsi="Times New Roman"/>
          <w:color w:val="auto"/>
          <w:sz w:val="10"/>
          <w:szCs w:val="10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0"/>
          <w:highlight w:val="none"/>
          <w:lang w:val="en-US" w:eastAsia="zh-CN"/>
        </w:rPr>
        <w:t xml:space="preserve">        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highlight w:val="none"/>
        </w:rPr>
        <w:t>单位：万元</w:t>
      </w:r>
    </w:p>
    <w:tbl>
      <w:tblPr>
        <w:tblStyle w:val="18"/>
        <w:tblW w:w="831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2"/>
        <w:gridCol w:w="993"/>
        <w:gridCol w:w="1134"/>
        <w:gridCol w:w="1134"/>
        <w:gridCol w:w="850"/>
        <w:gridCol w:w="851"/>
        <w:gridCol w:w="8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4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602" w:firstLineChars="30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投资对象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长期投资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投资收益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4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993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股权投资</w:t>
            </w:r>
          </w:p>
        </w:tc>
        <w:tc>
          <w:tcPr>
            <w:tcW w:w="9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对企业股权投资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企业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企业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其他企业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对投资基金股权投资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投资基金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投资基金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对国际金融组织股权投资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机构1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机构2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noWrap w:val="0"/>
            <w:vAlign w:val="center"/>
          </w:tcPr>
          <w:p>
            <w:pPr>
              <w:widowControl/>
              <w:ind w:left="600" w:left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债券投资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4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3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本表按照长期投资年末数从大到小排列。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对企业股权投资原则上列示前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家，超过部分合并填入其他企业。</w:t>
            </w:r>
          </w:p>
        </w:tc>
      </w:tr>
    </w:tbl>
    <w:p>
      <w:pPr>
        <w:rPr>
          <w:rFonts w:ascii="Times New Roman" w:hAnsi="Times New Roman"/>
          <w:color w:val="auto"/>
          <w:highlight w:val="none"/>
        </w:rPr>
      </w:pPr>
    </w:p>
    <w:p>
      <w:pPr>
        <w:pStyle w:val="9"/>
        <w:rPr>
          <w:rFonts w:ascii="Times New Roman" w:hAnsi="Times New Roman"/>
          <w:color w:val="auto"/>
          <w:highlight w:val="none"/>
        </w:rPr>
      </w:pPr>
    </w:p>
    <w:p>
      <w:pPr>
        <w:pStyle w:val="9"/>
        <w:rPr>
          <w:rFonts w:ascii="Times New Roman" w:hAnsi="Times New Roman"/>
          <w:color w:val="auto"/>
          <w:highlight w:val="none"/>
        </w:rPr>
      </w:pPr>
    </w:p>
    <w:p>
      <w:pPr>
        <w:pStyle w:val="9"/>
        <w:rPr>
          <w:rFonts w:ascii="Times New Roman" w:hAnsi="Times New Roman"/>
          <w:color w:val="auto"/>
          <w:highlight w:val="none"/>
        </w:rPr>
      </w:pPr>
    </w:p>
    <w:p>
      <w:pPr>
        <w:pStyle w:val="9"/>
        <w:rPr>
          <w:rFonts w:ascii="Times New Roman" w:hAnsi="Times New Roman"/>
          <w:color w:val="auto"/>
          <w:highlight w:val="none"/>
        </w:rPr>
      </w:pPr>
    </w:p>
    <w:tbl>
      <w:tblPr>
        <w:tblStyle w:val="18"/>
        <w:tblW w:w="9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715"/>
        <w:gridCol w:w="762"/>
        <w:gridCol w:w="904"/>
        <w:gridCol w:w="1058"/>
        <w:gridCol w:w="819"/>
        <w:gridCol w:w="656"/>
        <w:gridCol w:w="819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附表</w:t>
            </w:r>
            <w:r>
              <w:rPr>
                <w:rStyle w:val="23"/>
                <w:rFonts w:eastAsia="宋体"/>
                <w:color w:val="auto"/>
                <w:highlight w:val="none"/>
                <w:lang w:val="en-US" w:eastAsia="zh-CN" w:bidi="ar"/>
              </w:rPr>
              <w:t>4-2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长期股权投资明细表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2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投资对象</w:t>
            </w:r>
          </w:p>
        </w:tc>
        <w:tc>
          <w:tcPr>
            <w:tcW w:w="3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年初数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调整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其他权益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变动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调整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其他权益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对企业股权投资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对投资基金股权投资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投资基金1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投资基金2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对国际金融组织股权投资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机构1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机构2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1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注：1.</w:t>
            </w:r>
            <w:r>
              <w:rPr>
                <w:rStyle w:val="24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本表按照长期股权投资年末数从大到小排列。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2.对企业股权投资原则上列示前50家，超过部分合并填入其他企业。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3.</w:t>
            </w:r>
            <w:r>
              <w:rPr>
                <w:rStyle w:val="24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本表各明细项目年初数、年末数小计应分别与附表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“股权投资”相应明细项目年初数、年末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4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数</w:t>
            </w:r>
            <w:r>
              <w:rPr>
                <w:rStyle w:val="24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一致。</w:t>
            </w:r>
          </w:p>
          <w:p>
            <w:pPr>
              <w:pStyle w:val="9"/>
              <w:rPr>
                <w:rFonts w:hint="default"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tabs>
          <w:tab w:val="left" w:pos="1354"/>
        </w:tabs>
        <w:ind w:left="0" w:leftChars="0"/>
        <w:rPr>
          <w:rFonts w:hint="default" w:ascii="Times New Roman" w:hAnsi="Times New Roman" w:eastAsia="仿宋_GB2312"/>
          <w:color w:val="auto"/>
          <w:highlight w:val="none"/>
          <w:lang w:eastAsia="zh-CN"/>
        </w:rPr>
      </w:pPr>
    </w:p>
    <w:p>
      <w:pPr>
        <w:spacing w:before="0" w:beforeLines="0" w:after="100" w:afterLines="0" w:afterAutospacing="1" w:line="588" w:lineRule="atLeast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</w:pPr>
    </w:p>
    <w:p>
      <w:pPr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t>）应收转贷款明细信息如下：</w:t>
      </w:r>
    </w:p>
    <w:tbl>
      <w:tblPr>
        <w:tblStyle w:val="18"/>
        <w:tblW w:w="830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8"/>
        <w:gridCol w:w="2714"/>
        <w:gridCol w:w="27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应收转贷款明细表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转贷对象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应收地方政府债券转贷款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地区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地区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应收主权外债转贷款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地区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地区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0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本表按照转贷对象列示明细。</w:t>
            </w:r>
          </w:p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本表仅包含本金金额。</w:t>
            </w:r>
          </w:p>
        </w:tc>
      </w:tr>
    </w:tbl>
    <w:p>
      <w:pPr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）固定资产明细信息如下：</w:t>
      </w:r>
    </w:p>
    <w:tbl>
      <w:tblPr>
        <w:tblStyle w:val="18"/>
        <w:tblW w:w="83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0"/>
        <w:gridCol w:w="1436"/>
        <w:gridCol w:w="1415"/>
        <w:gridCol w:w="1417"/>
        <w:gridCol w:w="144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固定资产明细表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4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442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原值合计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房屋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构筑物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设备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陈列品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图书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档案</w:t>
            </w:r>
          </w:p>
        </w:tc>
        <w:tc>
          <w:tcPr>
            <w:tcW w:w="1436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家具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用具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特种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动植物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累计折旧合计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房屋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构筑物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设备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陈列品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图书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档案</w:t>
            </w:r>
          </w:p>
        </w:tc>
        <w:tc>
          <w:tcPr>
            <w:tcW w:w="1436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家具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用具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特种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动植物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净值合计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房屋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构筑物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设备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陈列品</w:t>
            </w:r>
          </w:p>
        </w:tc>
        <w:tc>
          <w:tcPr>
            <w:tcW w:w="143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图书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档案</w:t>
            </w:r>
          </w:p>
        </w:tc>
        <w:tc>
          <w:tcPr>
            <w:tcW w:w="1436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家具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用具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exact"/>
          <w:jc w:val="center"/>
        </w:trPr>
        <w:tc>
          <w:tcPr>
            <w:tcW w:w="26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特种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动植物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42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tabs>
          <w:tab w:val="left" w:pos="538"/>
        </w:tabs>
        <w:spacing w:before="156" w:beforeLines="50" w:after="156" w:afterLines="50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tabs>
          <w:tab w:val="left" w:pos="538"/>
        </w:tabs>
        <w:spacing w:before="156" w:beforeLines="50" w:after="156" w:afterLines="50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tabs>
          <w:tab w:val="left" w:pos="538"/>
        </w:tabs>
        <w:spacing w:before="156" w:beforeLines="50" w:after="156" w:afterLines="50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tabs>
          <w:tab w:val="left" w:pos="538"/>
        </w:tabs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16"/>
          <w:sz w:val="30"/>
          <w:szCs w:val="30"/>
          <w:highlight w:val="none"/>
        </w:rPr>
        <w:t>）在建工程明细信息如下：</w:t>
      </w:r>
    </w:p>
    <w:tbl>
      <w:tblPr>
        <w:tblStyle w:val="18"/>
        <w:tblW w:w="82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2"/>
        <w:gridCol w:w="1527"/>
        <w:gridCol w:w="1679"/>
        <w:gridCol w:w="1831"/>
        <w:gridCol w:w="1334"/>
        <w:gridCol w:w="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在建工程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5" w:type="dxa"/>
            <w:gridSpan w:val="6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atLeast"/>
          <w:jc w:val="center"/>
        </w:trPr>
        <w:tc>
          <w:tcPr>
            <w:tcW w:w="185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1527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679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831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334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土地收储项目</w:t>
            </w: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其他项目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 xml:space="preserve">  部门2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exact"/>
          <w:jc w:val="center"/>
        </w:trPr>
        <w:tc>
          <w:tcPr>
            <w:tcW w:w="1852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2"/>
                <w:highlight w:val="none"/>
              </w:rPr>
              <w:t>……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397" w:hRule="atLeast"/>
          <w:jc w:val="center"/>
        </w:trPr>
        <w:tc>
          <w:tcPr>
            <w:tcW w:w="1852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highlight w:val="none"/>
              </w:rPr>
              <w:t>合计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color w:val="auto"/>
                <w:sz w:val="22"/>
                <w:highlight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190" w:firstLineChars="100"/>
        <w:jc w:val="left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9"/>
          <w:szCs w:val="19"/>
          <w:highlight w:val="none"/>
          <w:lang w:val="en-US" w:eastAsia="zh-CN" w:bidi="ar"/>
        </w:rPr>
        <w:t>注：土地收储项目年末数小于 1</w:t>
      </w:r>
      <w:r>
        <w:rPr>
          <w:rFonts w:hint="eastAsia" w:ascii="Times New Roman" w:hAnsi="Times New Roman" w:eastAsia="宋体" w:cs="Times New Roman"/>
          <w:color w:val="auto"/>
          <w:kern w:val="0"/>
          <w:sz w:val="19"/>
          <w:szCs w:val="19"/>
          <w:highlight w:val="none"/>
          <w:lang w:val="en-US" w:eastAsia="zh-CN" w:bidi="ar"/>
        </w:rPr>
        <w:t>00</w:t>
      </w:r>
      <w:r>
        <w:rPr>
          <w:rFonts w:hint="default" w:ascii="Times New Roman" w:hAnsi="Times New Roman" w:eastAsia="宋体" w:cs="Times New Roman"/>
          <w:color w:val="auto"/>
          <w:kern w:val="0"/>
          <w:sz w:val="19"/>
          <w:szCs w:val="19"/>
          <w:highlight w:val="none"/>
          <w:lang w:val="en-US" w:eastAsia="zh-CN" w:bidi="ar"/>
        </w:rPr>
        <w:t>万元的，需在此处说明原因及情况。</w:t>
      </w:r>
    </w:p>
    <w:p>
      <w:pPr>
        <w:rPr>
          <w:rFonts w:ascii="Times New Roman" w:hAnsi="Times New Roman" w:cs="Times New Roman"/>
          <w:color w:val="auto"/>
          <w:sz w:val="22"/>
          <w:highlight w:val="none"/>
        </w:rPr>
      </w:pPr>
    </w:p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8）无形资产明细信息如下：</w:t>
      </w:r>
    </w:p>
    <w:tbl>
      <w:tblPr>
        <w:tblStyle w:val="18"/>
        <w:tblW w:w="83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无形资产明细表</w:t>
            </w:r>
          </w:p>
        </w:tc>
      </w:tr>
    </w:tbl>
    <w:p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0"/>
          <w:highlight w:val="none"/>
          <w:lang w:val="en-US" w:eastAsia="zh-CN"/>
        </w:rPr>
        <w:t xml:space="preserve">         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highlight w:val="none"/>
        </w:rPr>
        <w:t>单位：万元</w:t>
      </w:r>
    </w:p>
    <w:tbl>
      <w:tblPr>
        <w:tblStyle w:val="18"/>
        <w:tblW w:w="83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1792"/>
        <w:gridCol w:w="1700"/>
        <w:gridCol w:w="1700"/>
        <w:gridCol w:w="158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tblHeader/>
          <w:jc w:val="center"/>
        </w:trPr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增加</w:t>
            </w:r>
          </w:p>
        </w:tc>
        <w:tc>
          <w:tcPr>
            <w:tcW w:w="1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减少</w:t>
            </w: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原值合计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专利权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非专利技术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著作权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资源资质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tabs>
                <w:tab w:val="left" w:pos="1500"/>
              </w:tabs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商标权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信息数据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累计摊销合计</w:t>
            </w:r>
          </w:p>
        </w:tc>
        <w:tc>
          <w:tcPr>
            <w:tcW w:w="179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专利权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非专利技术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著作权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资源资质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商标权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信息数据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净值合计</w:t>
            </w:r>
          </w:p>
        </w:tc>
        <w:tc>
          <w:tcPr>
            <w:tcW w:w="179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专利权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非专利技术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著作权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资源资质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商标权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信息数据</w:t>
            </w:r>
          </w:p>
        </w:tc>
        <w:tc>
          <w:tcPr>
            <w:tcW w:w="179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1792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70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70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584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）公共基础设施明细信息如下：</w:t>
      </w:r>
    </w:p>
    <w:tbl>
      <w:tblPr>
        <w:tblStyle w:val="18"/>
        <w:tblW w:w="818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  <w:t>9-1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公共基础设施明细表（原值）</w:t>
            </w:r>
          </w:p>
        </w:tc>
      </w:tr>
    </w:tbl>
    <w:p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highlight w:val="none"/>
          <w:lang w:val="en-US" w:eastAsia="zh-CN"/>
        </w:rPr>
        <w:t xml:space="preserve">        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highlight w:val="none"/>
        </w:rPr>
        <w:t>单位：万元</w:t>
      </w:r>
    </w:p>
    <w:tbl>
      <w:tblPr>
        <w:tblStyle w:val="18"/>
        <w:tblW w:w="819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54"/>
        <w:gridCol w:w="11"/>
        <w:gridCol w:w="1420"/>
        <w:gridCol w:w="116"/>
        <w:gridCol w:w="1302"/>
        <w:gridCol w:w="116"/>
        <w:gridCol w:w="1301"/>
        <w:gridCol w:w="116"/>
        <w:gridCol w:w="13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市政基础设施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交通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供排水设施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能源设施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环卫设施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园林绿化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综合类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信息通信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其他市政设施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交通基础设施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公路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汽车客运站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铁路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机场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航道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沿海航海保障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港口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轮渡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水利基础设施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  <w:jc w:val="center"/>
        </w:trPr>
        <w:tc>
          <w:tcPr>
            <w:tcW w:w="245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防洪（潮）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及治涝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" w:hRule="atLeast"/>
          <w:jc w:val="center"/>
        </w:trPr>
        <w:tc>
          <w:tcPr>
            <w:tcW w:w="2454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灌溉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及农村供水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245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引调水工程</w:t>
            </w:r>
          </w:p>
        </w:tc>
        <w:tc>
          <w:tcPr>
            <w:tcW w:w="1431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eastAsia="zh-CN"/>
              </w:rPr>
              <w:t>力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发电工程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水土保持工程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水库工程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水文基础设施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其他公共基础设施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原值合计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9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eastAsia="仿宋_GB2312" w:cs="Times New Roman"/>
                <w:color w:val="auto"/>
                <w:sz w:val="30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eastAsia="仿宋_GB2312" w:cs="Times New Roman"/>
                <w:color w:val="auto"/>
                <w:sz w:val="30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eastAsia="仿宋_GB2312" w:cs="Times New Roman"/>
                <w:color w:val="auto"/>
                <w:sz w:val="3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附表9-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9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公共基础设施明细表（累计折旧/摊销）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9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市政基础设施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交通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供排水设施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能源设施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环卫设施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园林绿化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综合类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信息通信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其他市政设施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交通基础设施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公路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汽车客运站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铁路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机场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航道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沿海航海保障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港口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轮渡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水利基础设施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防洪（潮）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及治涝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1536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灌溉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及农村供水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引调水工程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eastAsia="zh-CN"/>
              </w:rPr>
              <w:t>力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发电工程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水土保持工程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水库工程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水文基础设施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其他公共基础设施</w:t>
            </w:r>
          </w:p>
        </w:tc>
        <w:tc>
          <w:tcPr>
            <w:tcW w:w="1536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累计折旧（摊销）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9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附表9-3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9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公共基础设施明细表（净值）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19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市政基础设施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交通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供排水设施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能源设施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环卫设施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园林绿化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综合类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信息通信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其他市政设施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交通基础设施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公路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汽车客运站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铁路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机场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航道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沿海航海保障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港口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轮渡</w:t>
            </w:r>
          </w:p>
        </w:tc>
        <w:tc>
          <w:tcPr>
            <w:tcW w:w="1536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水利基础设施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防洪（潮）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及治涝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465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灌溉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及农村供水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" w:hRule="atLeast"/>
          <w:jc w:val="center"/>
        </w:trPr>
        <w:tc>
          <w:tcPr>
            <w:tcW w:w="246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引调水工程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  <w:lang w:eastAsia="zh-CN"/>
              </w:rPr>
              <w:t>力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发电工程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水土保持工程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水库工程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水文基础设施</w:t>
            </w:r>
          </w:p>
        </w:tc>
        <w:tc>
          <w:tcPr>
            <w:tcW w:w="1536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其他公共基础设施</w:t>
            </w:r>
          </w:p>
        </w:tc>
        <w:tc>
          <w:tcPr>
            <w:tcW w:w="1536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净值合计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--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  <w:jc w:val="center"/>
        </w:trPr>
        <w:tc>
          <w:tcPr>
            <w:tcW w:w="819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注：公共基础设施净值合计小于1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万元的，需在此处说明原因及情况。</w:t>
            </w:r>
          </w:p>
        </w:tc>
      </w:tr>
    </w:tbl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（10）政府储备物资明细信息如下：</w:t>
      </w:r>
    </w:p>
    <w:tbl>
      <w:tblPr>
        <w:tblStyle w:val="18"/>
        <w:tblW w:w="842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4"/>
        <w:gridCol w:w="143"/>
        <w:gridCol w:w="1297"/>
        <w:gridCol w:w="45"/>
        <w:gridCol w:w="1372"/>
        <w:gridCol w:w="45"/>
        <w:gridCol w:w="1373"/>
        <w:gridCol w:w="45"/>
        <w:gridCol w:w="1514"/>
        <w:gridCol w:w="39"/>
        <w:gridCol w:w="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837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10-1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837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政府储备物资明细表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8377" w:type="dxa"/>
            <w:gridSpan w:val="10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250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250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2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atLeast"/>
          <w:jc w:val="center"/>
        </w:trPr>
        <w:tc>
          <w:tcPr>
            <w:tcW w:w="2504" w:type="dxa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5" w:type="dxa"/>
          <w:trHeight w:val="397" w:hRule="exact"/>
          <w:jc w:val="center"/>
        </w:trPr>
        <w:tc>
          <w:tcPr>
            <w:tcW w:w="2504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440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84" w:type="dxa"/>
          <w:trHeight w:val="565" w:hRule="atLeast"/>
          <w:jc w:val="center"/>
        </w:trPr>
        <w:tc>
          <w:tcPr>
            <w:tcW w:w="8338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注：本表按照政府储备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物资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持有部门列示明细。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  <w:jc w:val="center"/>
        </w:trPr>
        <w:tc>
          <w:tcPr>
            <w:tcW w:w="8422" w:type="dxa"/>
            <w:gridSpan w:val="11"/>
            <w:tcBorders>
              <w:lef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10-2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422" w:type="dxa"/>
            <w:gridSpan w:val="11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政府储备物资明细表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422" w:type="dxa"/>
            <w:gridSpan w:val="11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highlight w:val="none"/>
                <w:lang w:eastAsia="zh-CN"/>
              </w:rPr>
              <w:t>粮食等农产品和农资储备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粮食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棉花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食糖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肉类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highlight w:val="none"/>
                <w:lang w:eastAsia="zh-CN"/>
              </w:rPr>
              <w:t>能源储备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矿产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原材料储备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应急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0"/>
                <w:highlight w:val="none"/>
                <w:lang w:eastAsia="zh-CN"/>
              </w:rPr>
              <w:t>专用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物资储备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其中：应急抢险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救灾物资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医药</w:t>
            </w:r>
          </w:p>
        </w:tc>
        <w:tc>
          <w:tcPr>
            <w:tcW w:w="1342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ind w:firstLine="200" w:firstLineChars="100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highlight w:val="none"/>
        </w:rPr>
        <w:t>注：本表按照政府储备物资种类列示明细。</w:t>
      </w:r>
    </w:p>
    <w:p>
      <w:pPr>
        <w:numPr>
          <w:ilvl w:val="0"/>
          <w:numId w:val="0"/>
        </w:numPr>
        <w:spacing w:before="156" w:beforeLines="50" w:after="156" w:afterLines="50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9"/>
        <w:rPr>
          <w:rFonts w:hint="default" w:ascii="Times New Roman" w:hAnsi="Times New Roman"/>
          <w:color w:val="auto"/>
          <w:highlight w:val="none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widowControl/>
        <w:numPr>
          <w:ilvl w:val="0"/>
          <w:numId w:val="0"/>
        </w:numPr>
        <w:spacing w:before="0" w:beforeLines="0" w:after="100" w:afterLines="0" w:afterAutospacing="1" w:line="588" w:lineRule="atLeast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（11）保障性住房明细信息如下：</w:t>
      </w:r>
    </w:p>
    <w:tbl>
      <w:tblPr>
        <w:tblStyle w:val="18"/>
        <w:tblW w:w="83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6"/>
        <w:gridCol w:w="1347"/>
        <w:gridCol w:w="1315"/>
        <w:gridCol w:w="1315"/>
        <w:gridCol w:w="15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37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11</w:t>
            </w:r>
          </w:p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0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0"/>
                <w:highlight w:val="none"/>
              </w:rPr>
              <w:t>保障性住房明细表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37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保障性住房明细表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377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项目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本年增加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本年减少</w:t>
            </w:r>
          </w:p>
        </w:tc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原值合计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公租房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经济适用房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保障性租赁住房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共有产权住房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配售型保障性住房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累计折旧合计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公租房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经济适用房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保障性租赁住房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共有产权住房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配售型保障性住房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  <w:t>其他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504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净值合计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公租房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经济适用房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保障性租赁住房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共有产权住房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配售型保障性住房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-US" w:eastAsia="zh-CN" w:bidi="ar-SA"/>
              </w:rPr>
              <w:t>其他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260" w:after="260" w:line="415" w:lineRule="auto"/>
              <w:jc w:val="right"/>
              <w:outlineLvl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highlight w:val="none"/>
              </w:rPr>
              <w:t>--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837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注：保障性住房净值合计小于1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  <w:t>万元的，需在此处说明原因及情况。</w:t>
            </w:r>
          </w:p>
          <w:p>
            <w:pPr>
              <w:keepNext/>
              <w:keepLines/>
              <w:spacing w:before="312" w:beforeLines="100" w:after="312" w:afterLines="100" w:line="360" w:lineRule="auto"/>
              <w:jc w:val="right"/>
              <w:outlineLvl w:val="1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spacing w:before="156" w:beforeLines="50" w:after="156" w:afterLines="50"/>
        <w:ind w:left="636" w:leftChars="212" w:firstLine="0" w:firstLineChars="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）应付及预收款项明细信息如下：</w:t>
      </w:r>
    </w:p>
    <w:tbl>
      <w:tblPr>
        <w:tblStyle w:val="18"/>
        <w:tblW w:w="83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outlineLvl w:val="2"/>
              <w:rPr>
                <w:rFonts w:hint="eastAsia" w:ascii="Times New Roman" w:hAnsi="Times New Roman" w:eastAsia="宋体" w:cs="Times New Roman"/>
                <w:color w:val="auto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应付及预收款项明细表</w:t>
            </w:r>
          </w:p>
        </w:tc>
      </w:tr>
    </w:tbl>
    <w:p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0"/>
          <w:highlight w:val="none"/>
          <w:lang w:val="en-US" w:eastAsia="zh-CN"/>
        </w:rPr>
        <w:t xml:space="preserve">        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highlight w:val="none"/>
        </w:rPr>
        <w:t>单位：万元</w:t>
      </w:r>
    </w:p>
    <w:tbl>
      <w:tblPr>
        <w:tblStyle w:val="18"/>
        <w:tblW w:w="83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8"/>
        <w:gridCol w:w="2830"/>
        <w:gridCol w:w="283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" w:hRule="atLeast"/>
          <w:tblHeader/>
          <w:jc w:val="center"/>
        </w:trPr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财政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其中：应付中央财政款项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政府部门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exact"/>
          <w:jc w:val="center"/>
        </w:trPr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312"/>
              </w:tabs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</w:rPr>
              <w:t>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本表反映被合并主体抵销后的应付及预收款项金额。</w:t>
            </w:r>
          </w:p>
          <w:p>
            <w:pPr>
              <w:widowControl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.本表“应付中央财政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款项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由省级财政部门根据财政总会计“与上级往来”科目的期末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贷方</w:t>
            </w:r>
          </w:p>
          <w:p>
            <w:pPr>
              <w:widowControl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余额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填列。</w:t>
            </w:r>
          </w:p>
          <w:p>
            <w:pPr>
              <w:widowControl/>
              <w:ind w:left="0"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本表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“其他”是指土地储备资金等资金主体。</w:t>
            </w:r>
          </w:p>
          <w:p>
            <w:pPr>
              <w:widowControl/>
              <w:tabs>
                <w:tab w:val="left" w:pos="312"/>
              </w:tabs>
              <w:ind w:firstLine="600" w:firstLineChars="200"/>
              <w:jc w:val="lef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）一年内到期的非流动负债明细信息如下：</w:t>
      </w:r>
    </w:p>
    <w:tbl>
      <w:tblPr>
        <w:tblStyle w:val="18"/>
        <w:tblW w:w="83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79"/>
        <w:gridCol w:w="1731"/>
        <w:gridCol w:w="23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3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jc w:val="left"/>
              <w:outlineLvl w:val="2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3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一年内到期的非流动负债明细表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83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4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主体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财政</w:t>
            </w:r>
          </w:p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其中：应付长期政府债券（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1年内到期）</w:t>
            </w:r>
          </w:p>
          <w:p>
            <w:pPr>
              <w:widowControl/>
              <w:ind w:firstLine="800" w:firstLineChars="4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应付地方政府债券转贷款（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1年内到期）</w:t>
            </w:r>
          </w:p>
          <w:p>
            <w:pPr>
              <w:widowControl/>
              <w:ind w:firstLine="800" w:firstLineChars="4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长期借款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1年内到期）</w:t>
            </w:r>
          </w:p>
          <w:p>
            <w:pPr>
              <w:widowControl/>
              <w:ind w:firstLine="800" w:firstLineChars="4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应付主权外债转贷款（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1年内到期）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政府部门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4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77" w:type="dxa"/>
            <w:gridSpan w:val="3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ind w:left="400" w:hanging="400" w:hanging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）应付长期政府债券明细信息如下：</w:t>
      </w:r>
    </w:p>
    <w:tbl>
      <w:tblPr>
        <w:tblStyle w:val="18"/>
        <w:tblpPr w:leftFromText="180" w:rightFromText="180" w:vertAnchor="text" w:horzAnchor="page" w:tblpX="1809" w:tblpY="283"/>
        <w:tblOverlap w:val="never"/>
        <w:tblW w:w="8764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02"/>
        <w:gridCol w:w="2831"/>
        <w:gridCol w:w="28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8764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87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应付长期政府债券明细表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87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种类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31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国债</w:t>
            </w: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3102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地方政府一般债券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31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地方政府专项债券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5" w:lineRule="auto"/>
              <w:jc w:val="right"/>
              <w:outlineLvl w:val="2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</w:trPr>
        <w:tc>
          <w:tcPr>
            <w:tcW w:w="876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注：本表按照长期政府债券种类列示明细。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ind w:firstLine="200" w:firstLineChars="100"/>
        <w:rPr>
          <w:rFonts w:hint="default" w:ascii="Times New Roman" w:hAnsi="Times New Roman" w:eastAsia="宋体" w:cs="Times New Roman"/>
          <w:color w:val="auto"/>
          <w:sz w:val="20"/>
          <w:highlight w:val="none"/>
        </w:rPr>
      </w:pPr>
    </w:p>
    <w:p>
      <w:pPr>
        <w:ind w:firstLine="200" w:firstLineChars="100"/>
        <w:rPr>
          <w:rFonts w:hint="default" w:ascii="Times New Roman" w:hAnsi="Times New Roman" w:eastAsia="宋体" w:cs="Times New Roman"/>
          <w:color w:val="auto"/>
          <w:sz w:val="20"/>
          <w:highlight w:val="none"/>
        </w:rPr>
      </w:pPr>
    </w:p>
    <w:tbl>
      <w:tblPr>
        <w:tblStyle w:val="18"/>
        <w:tblW w:w="8713" w:type="dxa"/>
        <w:tblInd w:w="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7"/>
        <w:gridCol w:w="2858"/>
        <w:gridCol w:w="2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1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1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应付长期政府债券明细表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1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到期期限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年初数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年末数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98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3年（不含1年）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10年（不含3年）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10年以上（不含10年）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71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"/>
              </w:rPr>
              <w:t>注：本表按照长期政府债券到期期限列示明细。</w:t>
            </w:r>
          </w:p>
        </w:tc>
      </w:tr>
    </w:tbl>
    <w:p>
      <w:pPr>
        <w:numPr>
          <w:ilvl w:val="0"/>
          <w:numId w:val="0"/>
        </w:numPr>
        <w:spacing w:before="0" w:beforeLines="0" w:after="0" w:afterLines="0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）应付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转贷款明细信息如下：</w:t>
      </w:r>
    </w:p>
    <w:tbl>
      <w:tblPr>
        <w:tblStyle w:val="18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60"/>
        <w:gridCol w:w="2771"/>
        <w:gridCol w:w="60"/>
        <w:gridCol w:w="2771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832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832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应付转贷款明细表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8325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420" w:hRule="atLeast"/>
          <w:jc w:val="center"/>
        </w:trPr>
        <w:tc>
          <w:tcPr>
            <w:tcW w:w="26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种类</w:t>
            </w:r>
          </w:p>
        </w:tc>
        <w:tc>
          <w:tcPr>
            <w:tcW w:w="283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2663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应付地方政府债券转贷款</w:t>
            </w:r>
          </w:p>
        </w:tc>
        <w:tc>
          <w:tcPr>
            <w:tcW w:w="2831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其中：地方政府一般债券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地方政府专项债券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266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应付主权外债转贷款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exact"/>
          <w:jc w:val="center"/>
        </w:trPr>
        <w:tc>
          <w:tcPr>
            <w:tcW w:w="2663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left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8325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本表按照应付转贷款种类列示明细。</w:t>
            </w:r>
          </w:p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本表仅列示本金金额。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应付转贷款明细表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8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到期期限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－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年（不含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－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年（不含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7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年以上（不含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8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注：本表按照应付转贷款到期期限列示。</w:t>
            </w:r>
          </w:p>
        </w:tc>
      </w:tr>
    </w:tbl>
    <w:p>
      <w:pPr>
        <w:pStyle w:val="9"/>
        <w:numPr>
          <w:ilvl w:val="0"/>
          <w:numId w:val="0"/>
        </w:numPr>
        <w:spacing w:after="0" w:line="220" w:lineRule="atLeast"/>
        <w:ind w:left="0" w:leftChars="0" w:firstLine="7600" w:firstLineChars="380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eastAsia="zh-CN"/>
        </w:rPr>
      </w:pPr>
    </w:p>
    <w:p>
      <w:pPr>
        <w:pStyle w:val="9"/>
        <w:numPr>
          <w:ilvl w:val="0"/>
          <w:numId w:val="0"/>
        </w:numPr>
        <w:spacing w:after="0" w:line="220" w:lineRule="atLeast"/>
        <w:ind w:left="0" w:leftChars="0" w:firstLine="7600" w:firstLineChars="380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eastAsia="zh-CN"/>
        </w:rPr>
      </w:pPr>
    </w:p>
    <w:p>
      <w:pPr>
        <w:pStyle w:val="9"/>
        <w:numPr>
          <w:ilvl w:val="0"/>
          <w:numId w:val="0"/>
        </w:numPr>
        <w:spacing w:after="0" w:line="220" w:lineRule="atLeast"/>
        <w:ind w:left="0" w:leftChars="0" w:firstLine="7600" w:firstLineChars="380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eastAsia="zh-CN"/>
        </w:rPr>
      </w:pPr>
    </w:p>
    <w:p>
      <w:pPr>
        <w:numPr>
          <w:ilvl w:val="0"/>
          <w:numId w:val="0"/>
        </w:numPr>
        <w:spacing w:before="0" w:beforeLines="0" w:after="0" w:afterLines="0"/>
        <w:ind w:firstLine="600" w:firstLineChars="200"/>
        <w:jc w:val="left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）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长期借款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明细信息如下：</w:t>
      </w:r>
    </w:p>
    <w:tbl>
      <w:tblPr>
        <w:tblStyle w:val="18"/>
        <w:tblW w:w="82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Times New Roman" w:hAnsi="Times New Roman" w:eastAsia="宋体" w:cs="Times New Roman"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29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长期借款明细表</w:t>
            </w:r>
          </w:p>
        </w:tc>
      </w:tr>
    </w:tbl>
    <w:p>
      <w:pPr>
        <w:pStyle w:val="9"/>
        <w:numPr>
          <w:ilvl w:val="0"/>
          <w:numId w:val="0"/>
        </w:numPr>
        <w:spacing w:after="0" w:line="220" w:lineRule="atLeast"/>
        <w:ind w:left="0" w:leftChars="0" w:firstLine="7600" w:firstLineChars="3800"/>
        <w:rPr>
          <w:rFonts w:hint="eastAsia" w:ascii="Times New Roman" w:hAnsi="Times New Roman" w:eastAsia="宋体" w:cs="Times New Roman"/>
          <w:color w:val="auto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eastAsia="zh-CN"/>
        </w:rPr>
        <w:t>单位：万元</w:t>
      </w:r>
    </w:p>
    <w:tbl>
      <w:tblPr>
        <w:tblStyle w:val="18"/>
        <w:tblW w:w="83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29"/>
        <w:gridCol w:w="2831"/>
        <w:gridCol w:w="2831"/>
        <w:gridCol w:w="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债务人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财政</w:t>
            </w: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政府部门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部门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widowControl/>
              <w:ind w:left="300" w:leftChars="1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397" w:hRule="exact"/>
          <w:jc w:val="center"/>
        </w:trPr>
        <w:tc>
          <w:tcPr>
            <w:tcW w:w="2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49" w:type="dxa"/>
          <w:trHeight w:val="1022" w:hRule="atLeast"/>
          <w:jc w:val="center"/>
        </w:trPr>
        <w:tc>
          <w:tcPr>
            <w:tcW w:w="82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注：本表按照债务人列示明细，并按长期借款年末数从大到小排列。</w:t>
            </w:r>
          </w:p>
          <w:p>
            <w:pPr>
              <w:widowControl/>
              <w:ind w:left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  <w:p>
            <w:pPr>
              <w:widowControl/>
              <w:ind w:left="0"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长期借款明细表</w:t>
            </w:r>
          </w:p>
        </w:tc>
      </w:tr>
    </w:tbl>
    <w:p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0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highlight w:val="none"/>
        </w:rPr>
        <w:t>单位：万元</w:t>
      </w:r>
    </w:p>
    <w:tbl>
      <w:tblPr>
        <w:tblStyle w:val="18"/>
        <w:tblW w:w="83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8"/>
        <w:gridCol w:w="2831"/>
        <w:gridCol w:w="28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债权人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机构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机构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其他机构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83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本表按照债权人列示明细，并按长期借款年末数从大到小排列。</w:t>
            </w:r>
          </w:p>
          <w:p>
            <w:pPr>
              <w:widowControl/>
              <w:adjustRightInd w:val="0"/>
              <w:ind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本表债权人原则上列示前5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家，超过部分合并填入其他机构。</w:t>
            </w:r>
          </w:p>
        </w:tc>
      </w:tr>
    </w:tbl>
    <w:p>
      <w:pPr>
        <w:spacing w:before="156" w:beforeLines="50" w:after="156" w:afterLines="50"/>
        <w:ind w:firstLine="0" w:firstLineChars="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before="156" w:beforeLines="50" w:after="156" w:afterLines="50"/>
        <w:ind w:firstLine="0" w:firstLineChars="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before="156" w:beforeLines="50" w:after="156" w:afterLines="50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before="156" w:beforeLines="50" w:after="156" w:afterLines="50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55"/>
        <w:gridCol w:w="2831"/>
        <w:gridCol w:w="28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-3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长期借款明细表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到期期限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年初数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年末数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－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年（不含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－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年（不含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年以上（不含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年）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注：本表按照长期借款到期期限列示明细。</w:t>
            </w:r>
          </w:p>
        </w:tc>
      </w:tr>
    </w:tbl>
    <w:p>
      <w:pPr>
        <w:spacing w:before="156" w:beforeLines="50" w:after="156" w:afterLines="50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before="156" w:beforeLines="50" w:after="156" w:afterLines="50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）政府间转移性收入明细信息如下：</w:t>
      </w:r>
    </w:p>
    <w:tbl>
      <w:tblPr>
        <w:tblStyle w:val="18"/>
        <w:tblW w:w="835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0"/>
        <w:gridCol w:w="2786"/>
        <w:gridCol w:w="2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35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35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政府间转移性收入明细表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35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1" w:hRule="atLeast"/>
          <w:jc w:val="center"/>
        </w:trPr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来源</w:t>
            </w:r>
          </w:p>
        </w:tc>
        <w:tc>
          <w:tcPr>
            <w:tcW w:w="27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  <w:tc>
          <w:tcPr>
            <w:tcW w:w="2885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  <w:jc w:val="center"/>
        </w:trPr>
        <w:tc>
          <w:tcPr>
            <w:tcW w:w="268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上级政府财政</w:t>
            </w:r>
          </w:p>
        </w:tc>
        <w:tc>
          <w:tcPr>
            <w:tcW w:w="27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268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下级政府财政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68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地区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68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地区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68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……</w:t>
            </w:r>
          </w:p>
        </w:tc>
        <w:tc>
          <w:tcPr>
            <w:tcW w:w="2786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  <w:jc w:val="center"/>
        </w:trPr>
        <w:tc>
          <w:tcPr>
            <w:tcW w:w="268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省外政府财政</w:t>
            </w:r>
          </w:p>
        </w:tc>
        <w:tc>
          <w:tcPr>
            <w:tcW w:w="2786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8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 w:hRule="exact"/>
          <w:jc w:val="center"/>
        </w:trPr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7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atLeast"/>
          <w:jc w:val="center"/>
        </w:trPr>
        <w:tc>
          <w:tcPr>
            <w:tcW w:w="835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本表按照政府间转移性收入来源主体列示明细。</w:t>
            </w:r>
          </w:p>
          <w:p>
            <w:pPr>
              <w:widowControl/>
              <w:ind w:left="0" w:firstLine="40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2.本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由省级及以下财政部门根据财政总会计“地区间援助收入”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、“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区域间转移性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7" w:leftChars="189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收入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科目的本年累计发生额分析填列。</w:t>
            </w:r>
          </w:p>
        </w:tc>
      </w:tr>
    </w:tbl>
    <w:p>
      <w:pPr>
        <w:spacing w:before="156" w:beforeLines="50" w:after="156" w:afterLines="50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before="156" w:beforeLines="50" w:after="156" w:afterLines="50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spacing w:before="156" w:beforeLines="50" w:after="156" w:afterLines="50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政府间转移性费用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明细信息如下：</w:t>
      </w:r>
    </w:p>
    <w:tbl>
      <w:tblPr>
        <w:tblStyle w:val="18"/>
        <w:tblW w:w="835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0"/>
        <w:gridCol w:w="2830"/>
        <w:gridCol w:w="283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附表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政府间转移性费用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对象</w:t>
            </w:r>
          </w:p>
        </w:tc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上年数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上级政府财政</w:t>
            </w:r>
          </w:p>
        </w:tc>
        <w:tc>
          <w:tcPr>
            <w:tcW w:w="28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下级政府财政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地区1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地区2</w:t>
            </w:r>
          </w:p>
        </w:tc>
        <w:tc>
          <w:tcPr>
            <w:tcW w:w="2830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……</w:t>
            </w:r>
          </w:p>
        </w:tc>
        <w:tc>
          <w:tcPr>
            <w:tcW w:w="2830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省外政府财政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69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其他</w:t>
            </w:r>
          </w:p>
        </w:tc>
        <w:tc>
          <w:tcPr>
            <w:tcW w:w="283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本表按照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政府间转移性费用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对象列示明细。</w:t>
            </w:r>
          </w:p>
          <w:p>
            <w:pPr>
              <w:widowControl/>
              <w:ind w:left="0" w:firstLine="40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2.本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/>
              </w:rPr>
              <w:t>**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省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由省级及以下财政部门根据财政总会计“地区间援助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、“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区域间转移性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67" w:leftChars="189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费用”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科目的本年累计发生额分析填列。</w:t>
            </w:r>
          </w:p>
        </w:tc>
      </w:tr>
    </w:tbl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highlight w:val="none"/>
          <w:lang w:val="en-US" w:eastAsia="zh-CN"/>
        </w:rPr>
        <w:t xml:space="preserve">   </w:t>
      </w: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0" w:firstLineChars="0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>
      <w:pPr>
        <w:pStyle w:val="9"/>
        <w:ind w:left="0" w:leftChars="0" w:firstLine="600" w:firstLineChars="200"/>
        <w:rPr>
          <w:rFonts w:hint="default" w:ascii="Times New Roman" w:hAnsi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16"/>
          <w:sz w:val="30"/>
          <w:szCs w:val="30"/>
          <w:highlight w:val="none"/>
          <w:lang w:val="en-US" w:eastAsia="zh-CN" w:bidi="ar-SA"/>
        </w:rPr>
        <w:t>6.需要说明的其他事项</w:t>
      </w:r>
      <w:r>
        <w:rPr>
          <w:rFonts w:hint="eastAsia" w:ascii="Times New Roman" w:hAnsi="Times New Roman" w:cs="Times New Roman"/>
          <w:b/>
          <w:bCs/>
          <w:color w:val="auto"/>
          <w:kern w:val="16"/>
          <w:sz w:val="30"/>
          <w:szCs w:val="30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spacing w:before="0" w:beforeLines="0" w:after="0" w:afterLines="0" w:line="560" w:lineRule="exact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）政府社保基金情况。可采用文字及表格结合的方式进行说明，表样如下：</w:t>
      </w:r>
    </w:p>
    <w:tbl>
      <w:tblPr>
        <w:tblStyle w:val="18"/>
        <w:tblW w:w="83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7"/>
        <w:gridCol w:w="1368"/>
        <w:gridCol w:w="1368"/>
        <w:gridCol w:w="1368"/>
        <w:gridCol w:w="13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342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××年度社保基金情况表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834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     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8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社保基金种类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上年累计结余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本年收入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本年支出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本年累计结余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企业职工基本养老保险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基金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城乡居民基本养老保险基金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502"/>
              </w:tabs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机关事业单位基本养老保险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基金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职工基本医疗保险基金（含生育保险）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城乡居民基本医疗保险基金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工伤保险基金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失业保险基金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8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rPr>
                <w:rFonts w:ascii="Times New Roman" w:hAnsi="Times New Roman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/>
              <w:keepLines/>
              <w:spacing w:before="340" w:after="330" w:line="576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政府社保基金专户资金余额（年末存款余额）为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××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）资产负债表日后重大事项。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）政府部门管理的公共基础设施、文物资源、保障性住房、自然资源资产等重要资产的种类和实物量等相关信息。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  <w:t>）在建工程中土地收储项目及面积等情况。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）政府债务限额及余额情况。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截至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年末，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政府债务限额为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亿元，政府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债务余额为</w:t>
      </w:r>
      <w:r>
        <w:rPr>
          <w:rFonts w:hint="default" w:ascii="Times New Roman" w:hAnsi="Times New Roman" w:eastAsia="宋体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××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亿元，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控制在</w:t>
      </w: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限额之内。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）或有事项。披露政府或有事项的事由和金额，如担保事项、未决诉讼或仲裁、承诺（补贴、代偿）、救助等，若无法预计金额应说明理由。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资产负债表项目年初数调整情况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其他未在会计报表中列示但对政府财务状况有重大影响的事项。</w:t>
      </w:r>
    </w:p>
    <w:p>
      <w:pPr>
        <w:pStyle w:val="4"/>
        <w:pageBreakBefore w:val="0"/>
        <w:widowControl/>
        <w:tabs>
          <w:tab w:val="left" w:pos="1197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00" w:firstLineChars="200"/>
        <w:jc w:val="left"/>
        <w:textAlignment w:val="auto"/>
        <w:rPr>
          <w:rFonts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0"/>
          <w:szCs w:val="30"/>
          <w:highlight w:val="none"/>
          <w:lang w:val="en"/>
        </w:rPr>
        <w:t>二、政府财政经济分析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（一）政府财务状况分析。（略）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（二）政府运行情况分析。（略）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auto"/>
          <w:kern w:val="16"/>
          <w:sz w:val="30"/>
          <w:szCs w:val="30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（三）财政中长期可持续性分析。（略）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Cs w:val="0"/>
          <w:color w:val="auto"/>
          <w:sz w:val="30"/>
          <w:szCs w:val="30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0"/>
          <w:szCs w:val="30"/>
          <w:highlight w:val="none"/>
          <w:lang w:val="en"/>
        </w:rPr>
        <w:t>三、政府财政财务管理情况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0"/>
          <w:szCs w:val="32"/>
          <w:highlight w:val="none"/>
          <w:lang w:val="en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政府预算管理情况。（略）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政府资产负债管理情况。（略）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0"/>
          <w:szCs w:val="32"/>
          <w:highlight w:val="none"/>
          <w:lang w:val="en"/>
        </w:rPr>
        <w:t>（三）政府收支管理情况。（略）</w:t>
      </w: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16"/>
          <w:sz w:val="30"/>
          <w:szCs w:val="20"/>
          <w:highlight w:val="none"/>
          <w:lang w:val="en"/>
        </w:rPr>
      </w:pPr>
    </w:p>
    <w:p>
      <w:pPr>
        <w:pStyle w:val="2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附：补充报表</w:t>
      </w:r>
    </w:p>
    <w:p>
      <w:pPr>
        <w:numPr>
          <w:ilvl w:val="0"/>
          <w:numId w:val="0"/>
        </w:numPr>
        <w:spacing w:before="156" w:beforeLines="50" w:after="156" w:afterLines="50"/>
        <w:ind w:firstLine="0" w:firstLineChars="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补充表1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highlight w:val="none"/>
          <w:lang w:val="en-US" w:eastAsia="zh-CN"/>
        </w:rPr>
        <w:t>财政总会计资产负债表</w:t>
      </w:r>
    </w:p>
    <w:p>
      <w:pPr>
        <w:pStyle w:val="16"/>
        <w:widowControl/>
        <w:shd w:val="clear" w:color="auto" w:fill="FFFFFF"/>
        <w:spacing w:beforeAutospacing="0" w:afterAutospacing="0" w:line="600" w:lineRule="exact"/>
        <w:ind w:firstLine="1920" w:firstLineChars="800"/>
        <w:rPr>
          <w:rFonts w:hint="default" w:ascii="Times New Roman" w:hAnsi="Times New Roman" w:eastAsia="方正小标宋_GBK" w:cs="Times New Roman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color w:val="auto"/>
          <w:highlight w:val="none"/>
          <w:shd w:val="clear" w:color="auto" w:fill="FFFFFF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color w:val="auto"/>
          <w:sz w:val="20"/>
          <w:highlight w:val="none"/>
          <w:shd w:val="clear" w:color="auto" w:fill="FFFFFF"/>
        </w:rPr>
        <w:t xml:space="preserve">  年   月   日                 </w:t>
      </w:r>
      <w:r>
        <w:rPr>
          <w:rFonts w:hint="default" w:ascii="Times New Roman" w:hAnsi="Times New Roman" w:cs="Times New Roman"/>
          <w:bCs/>
          <w:color w:val="auto"/>
          <w:sz w:val="20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Cs/>
          <w:color w:val="auto"/>
          <w:sz w:val="20"/>
          <w:highlight w:val="none"/>
          <w:shd w:val="clear" w:color="auto" w:fill="FFFFFF"/>
        </w:rPr>
        <w:t xml:space="preserve">   单位：</w:t>
      </w:r>
      <w:r>
        <w:rPr>
          <w:rFonts w:hint="default" w:ascii="Times New Roman" w:hAnsi="Times New Roman" w:cs="Times New Roman"/>
          <w:bCs/>
          <w:color w:val="auto"/>
          <w:sz w:val="20"/>
          <w:highlight w:val="none"/>
          <w:shd w:val="clear" w:color="auto" w:fill="FFFFFF"/>
          <w:lang w:eastAsia="zh-CN"/>
        </w:rPr>
        <w:t>万</w:t>
      </w:r>
      <w:r>
        <w:rPr>
          <w:rFonts w:hint="default" w:ascii="Times New Roman" w:hAnsi="Times New Roman" w:eastAsia="宋体" w:cs="Times New Roman"/>
          <w:bCs/>
          <w:color w:val="auto"/>
          <w:sz w:val="20"/>
          <w:highlight w:val="none"/>
          <w:shd w:val="clear" w:color="auto" w:fill="FFFFFF"/>
        </w:rPr>
        <w:t>元</w:t>
      </w:r>
    </w:p>
    <w:tbl>
      <w:tblPr>
        <w:tblStyle w:val="18"/>
        <w:tblW w:w="9020" w:type="dxa"/>
        <w:jc w:val="center"/>
        <w:tblBorders>
          <w:top w:val="none" w:color="auto" w:sz="0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885"/>
        <w:gridCol w:w="888"/>
        <w:gridCol w:w="2727"/>
        <w:gridCol w:w="930"/>
        <w:gridCol w:w="895"/>
      </w:tblGrid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资 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年初余额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期末余额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负债和净资产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年初余额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期末余额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流动资产：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流动负债：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国库存款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应付短期政府债券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其他财政存款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应付国库集中支付结余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国库现金管理资产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与上级往来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有价证券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其他应付款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应收非税收入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应付代管资金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应收股利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应付利息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借出款项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一年内到期的非流动负债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与下级往来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流动负债合计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预拨经费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非流动负债：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在途款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应付长期政府债券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其他应收款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借入款项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应收利息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应付地方政府债券转贷款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一年内到期的非流动资产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应付主权外债转贷款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流动资产合计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其他负债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非流动资产：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非流动负债合计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应收地方政府债券转贷款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负债合计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应收主权外债转贷款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净资产：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股权投资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累计盈余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非流动资产合计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预算稳定调节基金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预算周转金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专项债券偿债备付金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权益法调整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净资产合计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2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资产总计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负债及净资产总计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pStyle w:val="9"/>
        <w:rPr>
          <w:rFonts w:hint="default" w:ascii="Times New Roman" w:hAnsi="Times New Roman"/>
          <w:color w:val="auto"/>
          <w:highlight w:val="none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2</w:t>
      </w:r>
    </w:p>
    <w:p>
      <w:pPr>
        <w:pStyle w:val="9"/>
        <w:spacing w:line="360" w:lineRule="auto"/>
        <w:ind w:left="0" w:leftChars="0" w:firstLine="3213" w:firstLineChars="1600"/>
        <w:rPr>
          <w:rFonts w:hint="default" w:ascii="Times New Roman" w:hAnsi="Times New Roman" w:eastAsia="仿宋_GB2312" w:cs="Times New Roman"/>
          <w:bCs w:val="0"/>
          <w:color w:val="auto"/>
          <w:sz w:val="30"/>
          <w:szCs w:val="20"/>
          <w:highlight w:val="none"/>
          <w:shd w:val="clear" w:color="auto" w:fill="auto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0"/>
          <w:szCs w:val="20"/>
          <w:highlight w:val="none"/>
          <w:lang w:val="en-US" w:eastAsia="zh-CN"/>
        </w:rPr>
        <w:t>财政总会计收入费用表</w:t>
      </w:r>
    </w:p>
    <w:tbl>
      <w:tblPr>
        <w:tblStyle w:val="18"/>
        <w:tblW w:w="84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6"/>
        <w:gridCol w:w="852"/>
        <w:gridCol w:w="910"/>
        <w:gridCol w:w="800"/>
        <w:gridCol w:w="820"/>
        <w:gridCol w:w="940"/>
        <w:gridCol w:w="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98" w:type="dxa"/>
            <w:gridSpan w:val="7"/>
            <w:tcBorders>
              <w:left w:val="nil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　　　　　　　　　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项 目</w:t>
            </w:r>
          </w:p>
        </w:tc>
        <w:tc>
          <w:tcPr>
            <w:tcW w:w="1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预算管理资金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财政专户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管理资金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专用基金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上年数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本年数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上年数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本年数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上年数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本年数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1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收入合计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税收收入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非税收入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投资收益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补助收入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上解收入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地区间援助收入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区域间转移性收入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财政专户管理资金收入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专用基金收入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1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费用合计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政府机关商品和服务拨款费用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政府机关工资福利拨款费用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对事业单位补助拨款费用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对企业补助拨款费用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对个人和家庭补助拨款费用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对社会保障基金补助拨款费用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资本性拨款费用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其他拨款费用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财务费用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补助费用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上解费用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地区间援助费用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区域间转移性费用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其他费用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财政专户管理资金支出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专用基金支出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1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</w:rPr>
              <w:t>本期盈余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本年收入与费用的差额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498" w:type="dxa"/>
            <w:gridSpan w:val="7"/>
            <w:tcBorders>
              <w:top w:val="single" w:color="000000" w:sz="4" w:space="0"/>
              <w:lef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numPr>
                <w:ilvl w:val="0"/>
                <w:numId w:val="0"/>
              </w:numPr>
              <w:spacing w:before="156" w:beforeLines="50" w:after="156" w:afterLines="5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shd w:val="clear" w:color="auto" w:fill="FFFFFF"/>
              </w:rPr>
              <w:t>注：表中有“-”的部分不必填列。</w:t>
            </w:r>
          </w:p>
          <w:p>
            <w:pPr>
              <w:numPr>
                <w:ilvl w:val="0"/>
                <w:numId w:val="0"/>
              </w:numPr>
              <w:spacing w:before="156" w:beforeLines="50" w:after="156" w:afterLines="50"/>
              <w:ind w:firstLine="200" w:firstLineChars="100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szCs w:val="20"/>
          <w:highlight w:val="none"/>
          <w:lang w:val="en-US" w:eastAsia="zh-CN"/>
        </w:rPr>
        <w:t>财政总会计现金流量表</w:t>
      </w:r>
    </w:p>
    <w:p>
      <w:pPr>
        <w:numPr>
          <w:ilvl w:val="0"/>
          <w:numId w:val="0"/>
        </w:numPr>
        <w:spacing w:before="156" w:beforeLines="50" w:after="156" w:afterLines="50"/>
        <w:ind w:firstLine="0" w:firstLineChars="0"/>
        <w:jc w:val="center"/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  <w:lang w:val="en-US" w:eastAsia="zh-CN"/>
        </w:rPr>
        <w:t>单位：万元</w:t>
      </w:r>
    </w:p>
    <w:tbl>
      <w:tblPr>
        <w:tblStyle w:val="18"/>
        <w:tblW w:w="82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867"/>
        <w:gridCol w:w="1417"/>
        <w:gridCol w:w="13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5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项  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本年金额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上年金额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一、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日常活动产生的现金流量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组织税收收入收到的现金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组织非税收入收到的现金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组织财政专户管理资金收入收到的现金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组织专用基金收入收到的现金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上下级政府财政资金往来收到的现金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收回暂付性款项相关的现金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其他日常活动所收到的现金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984" w:firstLineChars="490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现金流入小计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政府机关商品和服务拨款所支付的现金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政府机关工资福利拨款所支付的现金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对事业单位补助拨款所支付的现金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对企业补助拨款所支付的现金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对个人和家庭补助拨款所支付的现金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对社会保障基金补助拨款所支付的现金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财政专户管理资金支出所支付的现金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专用基金支出所支付的现金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上下级政府财政资金往来支付的现金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资本性拨款所支付的现金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暂付性款项所支付的现金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其他日常活动所支付的现金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785" w:firstLineChars="391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现金流出小计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日常活动产生的现金流量净额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二、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投资活动产生的现金流量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收回股权投资所收到的现金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取得股权投资收益收到的现金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收到其他与投资活动有关的现金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885" w:firstLineChars="441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现金流入小计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取得股权投资所支出的现金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项  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本年金额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上年金额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支付其他与投资活动有关的现金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787" w:firstLineChars="392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现金流出小计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投资活动产生的现金流量净额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三、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筹资活动产生的现金流量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发行政府债券收到的现金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借入款项收到的现金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取得政府债券转贷款收到的现金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取得主权外债转贷款收到的现金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收回转贷款本金收到的现金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收到下级上缴转贷款利息相关的现金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其他筹资活动收到的现金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787" w:firstLineChars="392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现金流入小计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转贷地方政府债券所支付的现金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转贷主权外债所支付的现金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支付债务本金相关的现金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支付债务利息相关的现金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其他筹资活动支付的现金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787" w:firstLineChars="392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现金流出小计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筹资活动产生的现金流量净额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四、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汇率变动对现金的影响额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五、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现金净增加额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24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24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24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24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numPr>
          <w:ilvl w:val="-1"/>
          <w:numId w:val="0"/>
        </w:numPr>
        <w:spacing w:before="0" w:beforeLines="-2147483648" w:after="0" w:afterLines="-2147483648" w:line="240" w:lineRule="auto"/>
        <w:ind w:firstLine="0" w:firstLineChars="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br w:type="page"/>
      </w: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4</w:t>
      </w:r>
    </w:p>
    <w:tbl>
      <w:tblPr>
        <w:tblStyle w:val="18"/>
        <w:tblW w:w="83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6273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34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adjustRightInd/>
              <w:snapToGrid/>
              <w:spacing w:before="0" w:beforeLines="0" w:after="0" w:afterLines="0"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shd w:val="clear" w:color="auto" w:fill="auto"/>
                <w:lang w:eastAsia="zh-CN"/>
              </w:rPr>
              <w:t>财政总会计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本年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6"/>
                <w:sz w:val="20"/>
                <w:szCs w:val="20"/>
                <w:highlight w:val="none"/>
                <w:shd w:val="clear" w:color="auto" w:fill="auto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shd w:val="clear" w:color="auto" w:fill="auto"/>
              </w:rPr>
              <w:t>结余与盈余调节表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16"/>
                <w:sz w:val="20"/>
                <w:highlight w:val="none"/>
                <w:lang w:val="en-US" w:eastAsia="zh-CN"/>
              </w:rPr>
              <w:t>年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项  目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  <w:lang w:val="en-US" w:eastAsia="zh-CN"/>
              </w:rPr>
              <w:t>本年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预算结余（本年预算收入与支出差额）：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日常活动产生的差异：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加：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1.当期确认为收入但没有确认为预算收入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 xml:space="preserve">  当期应收未缴库非税收入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减：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2.当期确认为预算收入但没有确认为收入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 xml:space="preserve">   当期收到上期应收未缴库非税收入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当期确认为预算支出收回但没有确认为费用收回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（1）当期收到退回以前年度已列支资金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（2）当期将以前年度国库集中支付结余收回预算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投资活动产生的差异：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加：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1.当期确认为收入但没有确认为预算收入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（1）当期投资收益或损失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（2）当期无偿划入股权投资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2.当期确认为预算支出但没有确认为费用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（1）当期股权投资增支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（2）当期股权投资减支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减：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3.当期确认为预算收入但没有确认为收入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（1）当期收到利润收入和股利股息收入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（2）当期收到清算、处置股权投资的收入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4.当期确认为费用但没有确认为预算支出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当期无偿划出股权投资费用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筹资活动产生的差异：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加：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1.当期确认为预算支出但没有确认为费用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（1）当期转贷款支出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（2）当期债务还本支出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（3）拨付上年计提债务利息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 xml:space="preserve">  减：2.当期确认为预算收入但没有确认为收入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（1）当期债务收入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项  目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（2）当期转贷款收入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3.当期确认为费用但没有确认为预算支出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  <w:t>当期计提未拨付债务利息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其他差异事项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当期汇兑损益净额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本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盈余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</w:rPr>
              <w:t>本年收入与费用的差额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0"/>
                <w:highlight w:val="none"/>
                <w:lang w:eastAsia="zh-CN"/>
              </w:rPr>
              <w:t>）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240" w:lineRule="auto"/>
        <w:ind w:firstLine="0" w:firstLineChars="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  <w:t>　　</w:t>
      </w: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pStyle w:val="9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 w:line="240" w:lineRule="auto"/>
        <w:ind w:firstLine="0" w:firstLineChars="0"/>
        <w:rPr>
          <w:rFonts w:hint="eastAsia" w:ascii="Times New Roman" w:hAnsi="Times New Roman" w:cs="Times New Roman"/>
          <w:b w:val="0"/>
          <w:bCs w:val="0"/>
          <w:color w:val="auto"/>
          <w:sz w:val="30"/>
          <w:szCs w:val="30"/>
          <w:highlight w:val="none"/>
          <w:lang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5</w:t>
      </w:r>
    </w:p>
    <w:tbl>
      <w:tblPr>
        <w:tblStyle w:val="18"/>
        <w:tblW w:w="83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150"/>
        <w:gridCol w:w="650"/>
        <w:gridCol w:w="1356"/>
        <w:gridCol w:w="1356"/>
        <w:gridCol w:w="1261"/>
        <w:gridCol w:w="1173"/>
        <w:gridCol w:w="762"/>
        <w:gridCol w:w="708"/>
        <w:gridCol w:w="3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97" w:hRule="atLeast"/>
          <w:jc w:val="center"/>
        </w:trPr>
        <w:tc>
          <w:tcPr>
            <w:tcW w:w="828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省级及以下财政拨付给中央部门的相关费用明细表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97" w:hRule="atLeast"/>
          <w:jc w:val="center"/>
        </w:trPr>
        <w:tc>
          <w:tcPr>
            <w:tcW w:w="828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单位：万元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1120" w:hRule="atLeast"/>
          <w:jc w:val="center"/>
        </w:trPr>
        <w:tc>
          <w:tcPr>
            <w:tcW w:w="102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  <w:lang w:eastAsia="zh-CN"/>
              </w:rPr>
              <w:t>中央部门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商品和服务费用（政府机关商品和服务拨款费用）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工资福利费用（政府机关工资福利拨款费用）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对企业补助费用（对企业补助拨款费用）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对个人和家庭的补助费用（对个人和家庭补助拨款费用）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其他费用（资本性拨款费用、其他拨款费用）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1182" w:hRule="atLeast"/>
          <w:jc w:val="center"/>
        </w:trPr>
        <w:tc>
          <w:tcPr>
            <w:tcW w:w="102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资本性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拨款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费用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16"/>
                <w:sz w:val="20"/>
                <w:highlight w:val="none"/>
                <w:lang w:val="en-US" w:eastAsia="zh-CN" w:bidi="ar-SA"/>
              </w:rPr>
              <w:t>其他拨款费用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9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部门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726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97" w:hRule="atLeast"/>
          <w:jc w:val="center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" w:eastAsia="zh-CN"/>
              </w:rPr>
              <w:t>部门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726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97" w:hRule="atLeast"/>
          <w:jc w:val="center"/>
        </w:trPr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jc w:val="center"/>
              <w:rPr>
                <w:rFonts w:hint="default" w:ascii="Times New Roman" w:hAnsi="Times New Roman" w:eastAsia="宋体" w:cs="Times New Roman"/>
                <w:color w:val="auto"/>
                <w:kern w:val="16"/>
                <w:sz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726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0" w:type="dxa"/>
          <w:trHeight w:val="397" w:hRule="exact"/>
          <w:jc w:val="center"/>
        </w:trPr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highlight w:val="none"/>
              </w:rPr>
              <w:t>合计</w:t>
            </w:r>
          </w:p>
        </w:tc>
        <w:tc>
          <w:tcPr>
            <w:tcW w:w="1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7266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6" w:lineRule="auto"/>
              <w:jc w:val="right"/>
              <w:outlineLvl w:val="0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8317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表由省级及以下财政部门根据财政总会计“政府机关商品和服务拨款费用”、“政府机关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工资福利拨款费用”、“对企业补助拨款费用”、“对个人和家庭补助拨款费用”、“资本性拨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款费用”、“其他拨款费用”科目的本年累计发生额分析填列。“对事业单位补助拨款费用”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>科目的本年累计发生额应分析调整至相关科目后汇总填列。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highlight w:val="none"/>
                <w:lang w:val="en-US" w:eastAsia="zh-CN"/>
              </w:rPr>
              <w:t>本表“中央部门”包括</w:t>
            </w:r>
            <w:r>
              <w:rPr>
                <w:rFonts w:hint="default" w:ascii="Times New Roman" w:hAnsi="Times New Roman" w:eastAsia="宋体"/>
                <w:color w:val="auto"/>
                <w:sz w:val="20"/>
                <w:szCs w:val="20"/>
                <w:highlight w:val="none"/>
              </w:rPr>
              <w:t>中央部门本级及所属单位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highlight w:val="none"/>
              </w:rPr>
              <w:t xml:space="preserve">        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6</w:t>
      </w:r>
    </w:p>
    <w:tbl>
      <w:tblPr>
        <w:tblStyle w:val="18"/>
        <w:tblW w:w="87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463"/>
        <w:gridCol w:w="1595"/>
        <w:gridCol w:w="147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16"/>
                <w:sz w:val="20"/>
                <w:szCs w:val="20"/>
                <w:highlight w:val="none"/>
                <w:u w:val="none"/>
                <w:lang w:val="en-US" w:eastAsia="zh-CN" w:bidi="ar"/>
              </w:rPr>
              <w:t>应付工程款情况表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核算科目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年初数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本年增加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本年减少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年末数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应付账款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长期应付款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其他应付款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合计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注：应付工程款按实际会计核算数据分析填列。</w:t>
            </w:r>
          </w:p>
        </w:tc>
      </w:tr>
    </w:tbl>
    <w:p>
      <w:pPr>
        <w:rPr>
          <w:rFonts w:ascii="Times New Roman" w:hAnsi="Times New Roman" w:cs="Times New Roman"/>
          <w:color w:val="auto"/>
          <w:szCs w:val="30"/>
          <w:highlight w:val="none"/>
        </w:rPr>
        <w:sectPr>
          <w:footerReference r:id="rId6" w:type="default"/>
          <w:pgSz w:w="11906" w:h="16838"/>
          <w:pgMar w:top="1701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7</w:t>
      </w:r>
    </w:p>
    <w:tbl>
      <w:tblPr>
        <w:tblStyle w:val="18"/>
        <w:tblW w:w="136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行政事业单位资产负债汇总表</w:t>
            </w:r>
          </w:p>
        </w:tc>
      </w:tr>
    </w:tbl>
    <w:p>
      <w:pPr>
        <w:pStyle w:val="9"/>
        <w:numPr>
          <w:ilvl w:val="0"/>
          <w:numId w:val="0"/>
        </w:numPr>
        <w:spacing w:line="240" w:lineRule="auto"/>
        <w:ind w:firstLine="6200" w:firstLineChars="3100"/>
        <w:rPr>
          <w:rFonts w:hint="default" w:ascii="Times New Roman" w:hAnsi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年    月   日                                                 单位：万元</w:t>
      </w:r>
    </w:p>
    <w:tbl>
      <w:tblPr>
        <w:tblStyle w:val="18"/>
        <w:tblW w:w="136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675"/>
        <w:gridCol w:w="690"/>
        <w:gridCol w:w="630"/>
        <w:gridCol w:w="660"/>
        <w:gridCol w:w="645"/>
        <w:gridCol w:w="840"/>
        <w:gridCol w:w="855"/>
        <w:gridCol w:w="915"/>
        <w:gridCol w:w="675"/>
        <w:gridCol w:w="705"/>
        <w:gridCol w:w="825"/>
        <w:gridCol w:w="690"/>
        <w:gridCol w:w="765"/>
        <w:gridCol w:w="930"/>
        <w:gridCol w:w="99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9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年末数</w:t>
            </w:r>
          </w:p>
        </w:tc>
        <w:tc>
          <w:tcPr>
            <w:tcW w:w="6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年初数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行政单位</w:t>
            </w:r>
          </w:p>
        </w:tc>
        <w:tc>
          <w:tcPr>
            <w:tcW w:w="36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其他性质单位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行政单位</w:t>
            </w:r>
          </w:p>
        </w:tc>
        <w:tc>
          <w:tcPr>
            <w:tcW w:w="4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其他性质单位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科学事业单位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科学事业单位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CB9C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流动资产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货币资金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短期投资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非流动资产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长期股权投资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长期债券投资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负债总计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流动负债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短期借款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91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年末数</w:t>
            </w:r>
          </w:p>
        </w:tc>
        <w:tc>
          <w:tcPr>
            <w:tcW w:w="64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年初数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行政单位</w:t>
            </w:r>
          </w:p>
        </w:tc>
        <w:tc>
          <w:tcPr>
            <w:tcW w:w="3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其他性质单位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行政单位</w:t>
            </w:r>
          </w:p>
        </w:tc>
        <w:tc>
          <w:tcPr>
            <w:tcW w:w="42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其他性质单位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CB9C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科学事业单位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科学事业单位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8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应交增值税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非流动负债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长期借款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长期应付款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净资产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负债及净资产总计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注：该表通过加总各单位资产负债表生成。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9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pStyle w:val="9"/>
              <w:rPr>
                <w:rFonts w:ascii="Times New Roman" w:hAnsi="Times New Roman"/>
                <w:color w:val="auto"/>
                <w:highlight w:val="none"/>
              </w:rPr>
            </w:pPr>
          </w:p>
          <w:p>
            <w:pPr>
              <w:pStyle w:val="9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56" w:beforeLines="50" w:after="156" w:afterLines="5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补充表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行政事业单位收入费用汇总表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68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91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643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上年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行政单位</w:t>
            </w:r>
          </w:p>
        </w:tc>
        <w:tc>
          <w:tcPr>
            <w:tcW w:w="36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其他性质单位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行政单位</w:t>
            </w:r>
          </w:p>
        </w:tc>
        <w:tc>
          <w:tcPr>
            <w:tcW w:w="4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其他性质单位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6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科学事业单位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</w:t>
            </w:r>
          </w:p>
        </w:tc>
        <w:tc>
          <w:tcPr>
            <w:tcW w:w="7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科学事业单位</w:t>
            </w:r>
          </w:p>
        </w:tc>
        <w:tc>
          <w:tcPr>
            <w:tcW w:w="9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CB9C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0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费用总计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工资福利费用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商品和服务费用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0"/>
                <w:highlight w:val="none"/>
              </w:rPr>
              <w:t>……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本年盈余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240" w:lineRule="auto"/>
        <w:ind w:firstLine="0" w:firstLineChars="0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注：该表通过加总各单位收入费用表生成。</w:t>
      </w:r>
    </w:p>
    <w:p>
      <w:pPr>
        <w:pStyle w:val="9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>
      <w:pPr>
        <w:pStyle w:val="9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sectPr>
          <w:pgSz w:w="16838" w:h="11906" w:orient="landscape"/>
          <w:pgMar w:top="1531" w:right="1701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before="156" w:beforeLines="50" w:after="156" w:afterLines="50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补充表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lang w:val="en-US" w:eastAsia="zh-CN"/>
        </w:rPr>
        <w:t>9</w:t>
      </w:r>
    </w:p>
    <w:tbl>
      <w:tblPr>
        <w:tblStyle w:val="19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2"/>
        <w:gridCol w:w="23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行政事业单位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</w:rPr>
              <w:t>本年预算结余与盈余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调节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</w:rPr>
              <w:t>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vertAlign w:val="baseline"/>
              </w:rPr>
              <w:t>项 目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一、本年预算结余（本年预算收支差额） 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二、差异调节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（一）重要事项的差异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加：1.当期确认为收入但没有确认为预算收入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（1）应收款项、预收账款确认的收入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（2）接受非货币性资产捐赠确认的收入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60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2.当期确认为预算支出但没有确认为费用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（1）支付应付款项、预付账款的支出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（2）为取得存货、政府储备物资等计入物资成本的支出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（3）为购建固定资产等的资本性支出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（4）偿还借款本息支出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20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减：1.当期确认为预算收入但没有确认为收入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（1）收到应收款项、预收账款确认的预算收入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（2）取得借款确认的预算收入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60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2.当期确认为费用但没有确认为预算支出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（1）发出存货、政府储备物资等确认的费用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（2）计提的折旧费用和摊销费用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（3）确认的资产处置费用（处置资产价值）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（4）应付款项、预付账款确认的费用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（二）其他事项差异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82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三、本年盈余（本年收入与费用的差额）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0"/>
                <w:highlight w:val="none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 w:line="240" w:lineRule="auto"/>
        <w:ind w:firstLine="0" w:firstLineChars="0"/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注：该表通过加总各单位本年预算结余与盈余调节表生成。</w:t>
      </w:r>
    </w:p>
    <w:p>
      <w:pPr>
        <w:spacing w:before="0" w:beforeLines="0" w:after="100" w:afterLines="0" w:afterAutospacing="1" w:line="588" w:lineRule="atLeast"/>
        <w:ind w:firstLine="0" w:firstLineChars="0"/>
        <w:rPr>
          <w:rFonts w:hint="default" w:ascii="Times New Roman" w:hAnsi="Times New Roman"/>
          <w:b w:val="0"/>
          <w:bCs/>
          <w:color w:val="auto"/>
          <w:highlight w:val="none"/>
        </w:rPr>
      </w:pPr>
    </w:p>
    <w:p>
      <w:pPr>
        <w:rPr>
          <w:rFonts w:ascii="Times New Roman" w:hAnsi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B72449-8436-405F-B17D-345DF05624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5A8FBE-D52D-4422-A6A6-60C55E6E8B6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B7810D4B-6884-4D31-8E99-B8C96AEED0D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1184A1-E941-486B-A0B6-4D09DFA76B7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42116646-670A-4E49-BAD3-FAAB7B4C796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6" w:fontKey="{5F7FC5B6-C16B-4233-BD33-0C02625E9CAD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990AC952-703E-4A26-93A7-936D7253E5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snapToGrid w:val="0"/>
      </w:pPr>
      <w:r>
        <w:rPr>
          <w:rStyle w:val="21"/>
        </w:rPr>
        <w:footnoteRef/>
      </w:r>
      <w:r>
        <w:t xml:space="preserve"> </w:t>
      </w:r>
      <w:r>
        <w:rPr>
          <w:rFonts w:hint="eastAsia"/>
        </w:rPr>
        <w:t>*为新增调整内容。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IwNWYzMmRkZDIxM2RlODhhMmVkNDZlMWYzZDgifQ=="/>
  </w:docVars>
  <w:rsids>
    <w:rsidRoot w:val="4B1A69BB"/>
    <w:rsid w:val="03EF8520"/>
    <w:rsid w:val="0457583D"/>
    <w:rsid w:val="07F60DD0"/>
    <w:rsid w:val="0BFF4E0C"/>
    <w:rsid w:val="0E3B050B"/>
    <w:rsid w:val="0F9D4530"/>
    <w:rsid w:val="0FEC1F0A"/>
    <w:rsid w:val="13836FCC"/>
    <w:rsid w:val="13D76C3F"/>
    <w:rsid w:val="13FD0D18"/>
    <w:rsid w:val="141F5A69"/>
    <w:rsid w:val="177B675B"/>
    <w:rsid w:val="17A913D5"/>
    <w:rsid w:val="17EA0B7C"/>
    <w:rsid w:val="17ED8585"/>
    <w:rsid w:val="18293D0A"/>
    <w:rsid w:val="18660802"/>
    <w:rsid w:val="19C96C74"/>
    <w:rsid w:val="1A474CC6"/>
    <w:rsid w:val="1AEB374D"/>
    <w:rsid w:val="1AFD041B"/>
    <w:rsid w:val="1BFFD6CA"/>
    <w:rsid w:val="1FDD916E"/>
    <w:rsid w:val="224A5DEE"/>
    <w:rsid w:val="232F42CB"/>
    <w:rsid w:val="25AC4012"/>
    <w:rsid w:val="27DF170B"/>
    <w:rsid w:val="2BDFB003"/>
    <w:rsid w:val="2D0C1491"/>
    <w:rsid w:val="2DAF949A"/>
    <w:rsid w:val="2EFE2491"/>
    <w:rsid w:val="2F4EA1C8"/>
    <w:rsid w:val="2FE9BBD2"/>
    <w:rsid w:val="30B570CD"/>
    <w:rsid w:val="34134179"/>
    <w:rsid w:val="351722B6"/>
    <w:rsid w:val="35744D37"/>
    <w:rsid w:val="36AE3FD2"/>
    <w:rsid w:val="36EDD44B"/>
    <w:rsid w:val="36EFF60C"/>
    <w:rsid w:val="373E5457"/>
    <w:rsid w:val="37BB5C10"/>
    <w:rsid w:val="37BD97B8"/>
    <w:rsid w:val="37F17503"/>
    <w:rsid w:val="37FD5DCB"/>
    <w:rsid w:val="397BCDD9"/>
    <w:rsid w:val="39EF3435"/>
    <w:rsid w:val="3AF95141"/>
    <w:rsid w:val="3BFC8EB4"/>
    <w:rsid w:val="3BFEC494"/>
    <w:rsid w:val="3CEB0156"/>
    <w:rsid w:val="3D775080"/>
    <w:rsid w:val="3DBE458A"/>
    <w:rsid w:val="3E6EA1CB"/>
    <w:rsid w:val="3EE710F1"/>
    <w:rsid w:val="3EFD2DFF"/>
    <w:rsid w:val="3F17772F"/>
    <w:rsid w:val="3F53A322"/>
    <w:rsid w:val="3FBCEE63"/>
    <w:rsid w:val="3FBFE263"/>
    <w:rsid w:val="3FFFC709"/>
    <w:rsid w:val="40214CAC"/>
    <w:rsid w:val="408C4DE7"/>
    <w:rsid w:val="41791EAF"/>
    <w:rsid w:val="424741EF"/>
    <w:rsid w:val="46EC0AB2"/>
    <w:rsid w:val="49A822F9"/>
    <w:rsid w:val="49B67476"/>
    <w:rsid w:val="4B1A69BB"/>
    <w:rsid w:val="4BFE28D2"/>
    <w:rsid w:val="4CEEF594"/>
    <w:rsid w:val="4DB52493"/>
    <w:rsid w:val="4EF9DD9F"/>
    <w:rsid w:val="4FA3852B"/>
    <w:rsid w:val="4FBE18F6"/>
    <w:rsid w:val="4FFA1D5C"/>
    <w:rsid w:val="50CF55CE"/>
    <w:rsid w:val="51B00A27"/>
    <w:rsid w:val="545D6061"/>
    <w:rsid w:val="550054B8"/>
    <w:rsid w:val="555F1938"/>
    <w:rsid w:val="577D2551"/>
    <w:rsid w:val="579A19C3"/>
    <w:rsid w:val="57DE4044"/>
    <w:rsid w:val="57FA704A"/>
    <w:rsid w:val="590F4B85"/>
    <w:rsid w:val="59367040"/>
    <w:rsid w:val="59FFED32"/>
    <w:rsid w:val="5AEF0B45"/>
    <w:rsid w:val="5B103225"/>
    <w:rsid w:val="5BDFE8FE"/>
    <w:rsid w:val="5C550D98"/>
    <w:rsid w:val="5C8C6F77"/>
    <w:rsid w:val="5CE43F64"/>
    <w:rsid w:val="5D7D97B4"/>
    <w:rsid w:val="5DC0004E"/>
    <w:rsid w:val="5DDF5F63"/>
    <w:rsid w:val="5EEDE5EA"/>
    <w:rsid w:val="5F4D6E91"/>
    <w:rsid w:val="5F6E6A27"/>
    <w:rsid w:val="5F7DC98B"/>
    <w:rsid w:val="5F7F33BE"/>
    <w:rsid w:val="5FBF8EBB"/>
    <w:rsid w:val="5FC1DF47"/>
    <w:rsid w:val="5FCD88B3"/>
    <w:rsid w:val="5FDD92E1"/>
    <w:rsid w:val="5FEB9DD0"/>
    <w:rsid w:val="5FEF747E"/>
    <w:rsid w:val="5FF36A69"/>
    <w:rsid w:val="5FF5917C"/>
    <w:rsid w:val="5FFC3672"/>
    <w:rsid w:val="61D7F61B"/>
    <w:rsid w:val="620F6680"/>
    <w:rsid w:val="62BD7D0B"/>
    <w:rsid w:val="63DE14E9"/>
    <w:rsid w:val="64A05CB5"/>
    <w:rsid w:val="64CB2B4F"/>
    <w:rsid w:val="654D13AF"/>
    <w:rsid w:val="66C16EF7"/>
    <w:rsid w:val="66F735AE"/>
    <w:rsid w:val="66F7BC8F"/>
    <w:rsid w:val="677610EB"/>
    <w:rsid w:val="677DED60"/>
    <w:rsid w:val="67D59FE3"/>
    <w:rsid w:val="68717542"/>
    <w:rsid w:val="697C05DA"/>
    <w:rsid w:val="69EFC3D7"/>
    <w:rsid w:val="6AF9C5E2"/>
    <w:rsid w:val="6BCBD147"/>
    <w:rsid w:val="6BD5192C"/>
    <w:rsid w:val="6C76CCBC"/>
    <w:rsid w:val="6D7C7325"/>
    <w:rsid w:val="6D7F083E"/>
    <w:rsid w:val="6DC61BDB"/>
    <w:rsid w:val="6DCBD050"/>
    <w:rsid w:val="6DFB7EC4"/>
    <w:rsid w:val="6E7EEFF3"/>
    <w:rsid w:val="6EA67F91"/>
    <w:rsid w:val="6EA7A701"/>
    <w:rsid w:val="6F281B16"/>
    <w:rsid w:val="6F7FF0E9"/>
    <w:rsid w:val="6FBFD8A0"/>
    <w:rsid w:val="6FBFF5CA"/>
    <w:rsid w:val="6FCD9E0E"/>
    <w:rsid w:val="6FDF9FD0"/>
    <w:rsid w:val="6FF79337"/>
    <w:rsid w:val="6FFCE454"/>
    <w:rsid w:val="6FFD5765"/>
    <w:rsid w:val="6FFFC5C5"/>
    <w:rsid w:val="70487E25"/>
    <w:rsid w:val="71DF1EA8"/>
    <w:rsid w:val="71FB3B26"/>
    <w:rsid w:val="72266572"/>
    <w:rsid w:val="72724CCA"/>
    <w:rsid w:val="7355311B"/>
    <w:rsid w:val="73AD8FC9"/>
    <w:rsid w:val="73DF9C2E"/>
    <w:rsid w:val="73FE7290"/>
    <w:rsid w:val="74A5565C"/>
    <w:rsid w:val="74F4D4F7"/>
    <w:rsid w:val="753B63D6"/>
    <w:rsid w:val="757FDB23"/>
    <w:rsid w:val="75F8435B"/>
    <w:rsid w:val="75FFA6FD"/>
    <w:rsid w:val="763E4130"/>
    <w:rsid w:val="77262C27"/>
    <w:rsid w:val="775957F3"/>
    <w:rsid w:val="77C7DB3C"/>
    <w:rsid w:val="77F6C99A"/>
    <w:rsid w:val="77F7F747"/>
    <w:rsid w:val="77FE7DC4"/>
    <w:rsid w:val="77FF2D72"/>
    <w:rsid w:val="787F3610"/>
    <w:rsid w:val="78B65501"/>
    <w:rsid w:val="78D24C3A"/>
    <w:rsid w:val="79471D92"/>
    <w:rsid w:val="79FDE151"/>
    <w:rsid w:val="7AB23BF5"/>
    <w:rsid w:val="7ADDE920"/>
    <w:rsid w:val="7B3F4013"/>
    <w:rsid w:val="7B46A0B1"/>
    <w:rsid w:val="7B57AADD"/>
    <w:rsid w:val="7B718055"/>
    <w:rsid w:val="7BCF08C2"/>
    <w:rsid w:val="7BD559DD"/>
    <w:rsid w:val="7BEB813D"/>
    <w:rsid w:val="7BEE8242"/>
    <w:rsid w:val="7BF7ECAD"/>
    <w:rsid w:val="7BFE036A"/>
    <w:rsid w:val="7BFFD55E"/>
    <w:rsid w:val="7C632D5E"/>
    <w:rsid w:val="7CE44B0B"/>
    <w:rsid w:val="7D1E8004"/>
    <w:rsid w:val="7D6D4D06"/>
    <w:rsid w:val="7DBF94EA"/>
    <w:rsid w:val="7DEFCC10"/>
    <w:rsid w:val="7DF2041A"/>
    <w:rsid w:val="7DF784A7"/>
    <w:rsid w:val="7DFDFEAF"/>
    <w:rsid w:val="7DFEF3A7"/>
    <w:rsid w:val="7E3F508B"/>
    <w:rsid w:val="7E534598"/>
    <w:rsid w:val="7E77029E"/>
    <w:rsid w:val="7EBD4C5B"/>
    <w:rsid w:val="7EDF4441"/>
    <w:rsid w:val="7EDF738E"/>
    <w:rsid w:val="7EDFE368"/>
    <w:rsid w:val="7EEDC063"/>
    <w:rsid w:val="7EEF67C2"/>
    <w:rsid w:val="7EF7CF9D"/>
    <w:rsid w:val="7EFC5BE6"/>
    <w:rsid w:val="7EFFC1AE"/>
    <w:rsid w:val="7F0F6343"/>
    <w:rsid w:val="7F1658AE"/>
    <w:rsid w:val="7F5F6912"/>
    <w:rsid w:val="7F713C31"/>
    <w:rsid w:val="7F7437A3"/>
    <w:rsid w:val="7F75CAD9"/>
    <w:rsid w:val="7F79045C"/>
    <w:rsid w:val="7F7A2FCF"/>
    <w:rsid w:val="7F7DDAF0"/>
    <w:rsid w:val="7F7F6A79"/>
    <w:rsid w:val="7F8692A2"/>
    <w:rsid w:val="7FBF56E1"/>
    <w:rsid w:val="7FDE5D65"/>
    <w:rsid w:val="7FE15D53"/>
    <w:rsid w:val="7FE7BD69"/>
    <w:rsid w:val="7FEA4F54"/>
    <w:rsid w:val="7FEADE47"/>
    <w:rsid w:val="7FF7BD87"/>
    <w:rsid w:val="7FF93598"/>
    <w:rsid w:val="7FFA49A7"/>
    <w:rsid w:val="7FFBB2DD"/>
    <w:rsid w:val="7FFDD489"/>
    <w:rsid w:val="7FFE5E27"/>
    <w:rsid w:val="7FFEB9CC"/>
    <w:rsid w:val="7FFF65F3"/>
    <w:rsid w:val="7FFFDAD9"/>
    <w:rsid w:val="83EDC815"/>
    <w:rsid w:val="8DEF1860"/>
    <w:rsid w:val="8E375213"/>
    <w:rsid w:val="8EDF0C01"/>
    <w:rsid w:val="8FBDA651"/>
    <w:rsid w:val="8FFE4E47"/>
    <w:rsid w:val="967E552A"/>
    <w:rsid w:val="9CF34D1B"/>
    <w:rsid w:val="9DFB2629"/>
    <w:rsid w:val="9F3F2293"/>
    <w:rsid w:val="A7E35CDF"/>
    <w:rsid w:val="ACFD0911"/>
    <w:rsid w:val="AFD99FC9"/>
    <w:rsid w:val="AFEF4DD3"/>
    <w:rsid w:val="B6ADE29A"/>
    <w:rsid w:val="B6F6846B"/>
    <w:rsid w:val="B715C6A0"/>
    <w:rsid w:val="B77CB70A"/>
    <w:rsid w:val="B797615E"/>
    <w:rsid w:val="B7CF976D"/>
    <w:rsid w:val="B7FBDA0A"/>
    <w:rsid w:val="B8EE1311"/>
    <w:rsid w:val="BA9DF00E"/>
    <w:rsid w:val="BB5FB177"/>
    <w:rsid w:val="BBF66661"/>
    <w:rsid w:val="BC6B2E42"/>
    <w:rsid w:val="BDD31D64"/>
    <w:rsid w:val="BDFDFEC6"/>
    <w:rsid w:val="BEFFA95A"/>
    <w:rsid w:val="BF7A64C1"/>
    <w:rsid w:val="BF7FCBA4"/>
    <w:rsid w:val="BFAD6543"/>
    <w:rsid w:val="BFBEB6A2"/>
    <w:rsid w:val="BFCB9CFB"/>
    <w:rsid w:val="BFCCF3A0"/>
    <w:rsid w:val="BFFFB3B4"/>
    <w:rsid w:val="C3AED17B"/>
    <w:rsid w:val="C8E5DA32"/>
    <w:rsid w:val="C9BF5060"/>
    <w:rsid w:val="CBDFA914"/>
    <w:rsid w:val="CCBFAC62"/>
    <w:rsid w:val="CDEF50A3"/>
    <w:rsid w:val="CDF70D2E"/>
    <w:rsid w:val="CE4552F5"/>
    <w:rsid w:val="CFFA11DB"/>
    <w:rsid w:val="D5EFEB5C"/>
    <w:rsid w:val="D7EF61E4"/>
    <w:rsid w:val="D7F96251"/>
    <w:rsid w:val="DABA031A"/>
    <w:rsid w:val="DAFC0933"/>
    <w:rsid w:val="DBDD623D"/>
    <w:rsid w:val="DBF5A46E"/>
    <w:rsid w:val="DD5F8C93"/>
    <w:rsid w:val="DDFC07E9"/>
    <w:rsid w:val="DE876468"/>
    <w:rsid w:val="DEBB034F"/>
    <w:rsid w:val="DEEFE111"/>
    <w:rsid w:val="DEFB8489"/>
    <w:rsid w:val="DEFEEA12"/>
    <w:rsid w:val="DF1FEA92"/>
    <w:rsid w:val="DF6F1220"/>
    <w:rsid w:val="DF7BD47A"/>
    <w:rsid w:val="DFD9BB4D"/>
    <w:rsid w:val="DFFA25FB"/>
    <w:rsid w:val="DFFE13C3"/>
    <w:rsid w:val="DFFF7E29"/>
    <w:rsid w:val="E3D7EB2C"/>
    <w:rsid w:val="E3DBC0CD"/>
    <w:rsid w:val="E3FD6E76"/>
    <w:rsid w:val="E5AF344F"/>
    <w:rsid w:val="E65F40F6"/>
    <w:rsid w:val="E6B75574"/>
    <w:rsid w:val="E767F9E1"/>
    <w:rsid w:val="E7DE7093"/>
    <w:rsid w:val="E9BFFABE"/>
    <w:rsid w:val="EADF7BF8"/>
    <w:rsid w:val="EB1D6C51"/>
    <w:rsid w:val="EBB78290"/>
    <w:rsid w:val="EBBB502A"/>
    <w:rsid w:val="EBD95F78"/>
    <w:rsid w:val="ED9D57C5"/>
    <w:rsid w:val="EDF7C383"/>
    <w:rsid w:val="EE6FD5D8"/>
    <w:rsid w:val="EE7E09C3"/>
    <w:rsid w:val="EEDF421B"/>
    <w:rsid w:val="EF0D1E3E"/>
    <w:rsid w:val="EF33D77C"/>
    <w:rsid w:val="EF9709DF"/>
    <w:rsid w:val="EFA307F4"/>
    <w:rsid w:val="EFBB64C0"/>
    <w:rsid w:val="EFEB8129"/>
    <w:rsid w:val="EFEF2D63"/>
    <w:rsid w:val="F19606CD"/>
    <w:rsid w:val="F38A0F7B"/>
    <w:rsid w:val="F57B00B2"/>
    <w:rsid w:val="F5D53646"/>
    <w:rsid w:val="F5F99032"/>
    <w:rsid w:val="F5FDBEE8"/>
    <w:rsid w:val="F6DE468C"/>
    <w:rsid w:val="F72FC374"/>
    <w:rsid w:val="F7B62D86"/>
    <w:rsid w:val="F7FB7BDA"/>
    <w:rsid w:val="F8FF3396"/>
    <w:rsid w:val="F9CB8ECE"/>
    <w:rsid w:val="F9DEB670"/>
    <w:rsid w:val="F9FE8D5D"/>
    <w:rsid w:val="FA6B6866"/>
    <w:rsid w:val="FA6E107A"/>
    <w:rsid w:val="FA72D489"/>
    <w:rsid w:val="FAB3FBDC"/>
    <w:rsid w:val="FABFF4FE"/>
    <w:rsid w:val="FAF54E75"/>
    <w:rsid w:val="FAF70505"/>
    <w:rsid w:val="FAFBCF44"/>
    <w:rsid w:val="FB76B0C3"/>
    <w:rsid w:val="FB7EB35A"/>
    <w:rsid w:val="FBD9A629"/>
    <w:rsid w:val="FBFB331B"/>
    <w:rsid w:val="FBFDD247"/>
    <w:rsid w:val="FBFE190E"/>
    <w:rsid w:val="FBFF3F3C"/>
    <w:rsid w:val="FC2F0842"/>
    <w:rsid w:val="FC6E7931"/>
    <w:rsid w:val="FCFB260C"/>
    <w:rsid w:val="FD4D8238"/>
    <w:rsid w:val="FD71F98E"/>
    <w:rsid w:val="FD72B415"/>
    <w:rsid w:val="FDB7BC1B"/>
    <w:rsid w:val="FDBB121D"/>
    <w:rsid w:val="FDBF3225"/>
    <w:rsid w:val="FDCF4DBB"/>
    <w:rsid w:val="FDDF724C"/>
    <w:rsid w:val="FDF9ECA0"/>
    <w:rsid w:val="FE7ED221"/>
    <w:rsid w:val="FEE69D9B"/>
    <w:rsid w:val="FEED5198"/>
    <w:rsid w:val="FEFE5B13"/>
    <w:rsid w:val="FF13AACF"/>
    <w:rsid w:val="FF4FF4C3"/>
    <w:rsid w:val="FF6B01D0"/>
    <w:rsid w:val="FF773F8D"/>
    <w:rsid w:val="FFBBE9B6"/>
    <w:rsid w:val="FFD96ADA"/>
    <w:rsid w:val="FFDB5707"/>
    <w:rsid w:val="FFDEB364"/>
    <w:rsid w:val="FFEF8C87"/>
    <w:rsid w:val="FFEFA83D"/>
    <w:rsid w:val="FFF6F525"/>
    <w:rsid w:val="FFFD793E"/>
    <w:rsid w:val="FFFE79FC"/>
    <w:rsid w:val="FFFF9739"/>
    <w:rsid w:val="FFFFBAC6"/>
    <w:rsid w:val="FFFFDEA7"/>
    <w:rsid w:val="FFFFF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color w:val="000000"/>
      <w:kern w:val="16"/>
      <w:sz w:val="3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20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Lines="100" w:afterLines="100" w:line="360" w:lineRule="auto"/>
      <w:jc w:val="left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0"/>
    <w:pPr>
      <w:ind w:left="600"/>
      <w:jc w:val="left"/>
    </w:pPr>
    <w:rPr>
      <w:rFonts w:ascii="Calibri" w:hAnsi="Calibri"/>
      <w:i/>
      <w:iCs/>
      <w:sz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8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13">
    <w:name w:val="toc 4"/>
    <w:basedOn w:val="1"/>
    <w:next w:val="1"/>
    <w:qFormat/>
    <w:uiPriority w:val="0"/>
    <w:pPr>
      <w:ind w:left="900"/>
      <w:jc w:val="left"/>
    </w:pPr>
    <w:rPr>
      <w:rFonts w:ascii="Calibri" w:hAnsi="Calibri"/>
      <w:sz w:val="18"/>
      <w:szCs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toc 2"/>
    <w:basedOn w:val="12"/>
    <w:next w:val="1"/>
    <w:qFormat/>
    <w:uiPriority w:val="39"/>
    <w:pPr>
      <w:ind w:left="300"/>
      <w:jc w:val="left"/>
    </w:pPr>
    <w:rPr>
      <w:rFonts w:ascii="Calibri" w:hAnsi="Calibri"/>
      <w:smallCaps/>
      <w:sz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color w:val="auto"/>
      <w:kern w:val="0"/>
      <w:sz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otnote reference"/>
    <w:basedOn w:val="20"/>
    <w:qFormat/>
    <w:uiPriority w:val="0"/>
    <w:rPr>
      <w:vertAlign w:val="superscript"/>
    </w:rPr>
  </w:style>
  <w:style w:type="paragraph" w:styleId="22">
    <w:name w:val="No Spacing"/>
    <w:qFormat/>
    <w:uiPriority w:val="99"/>
    <w:pPr>
      <w:ind w:firstLine="200" w:firstLineChars="200"/>
    </w:pPr>
    <w:rPr>
      <w:rFonts w:ascii="Times New Roman" w:hAnsi="Times New Roman" w:eastAsia="仿宋_GB2312" w:cs="Times New Roman"/>
      <w:sz w:val="30"/>
      <w:szCs w:val="22"/>
      <w:lang w:val="en-US" w:eastAsia="zh-CN" w:bidi="ar-SA"/>
    </w:rPr>
  </w:style>
  <w:style w:type="character" w:customStyle="1" w:styleId="23">
    <w:name w:val="font6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4155</Words>
  <Characters>4362</Characters>
  <Lines>0</Lines>
  <Paragraphs>0</Paragraphs>
  <TotalTime>2</TotalTime>
  <ScaleCrop>false</ScaleCrop>
  <LinksUpToDate>false</LinksUpToDate>
  <CharactersWithSpaces>4811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2024-12-20T09:22:00Z</dcterms:created>
  <dc:creator>周槟</dc:creator>
  <cp:lastModifiedBy>陈静瑜</cp:lastModifiedBy>
  <cp:lastPrinted>2026-01-08T03:49:00Z</cp:lastPrinted>
  <dcterms:modified xsi:type="dcterms:W3CDTF">2026-03-16T03:06:47Z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5D2771F684194C78A64F2F8A685B89E6_11</vt:lpwstr>
  </property>
  <property fmtid="{D5CDD505-2E9C-101B-9397-08002B2CF9AE}" pid="4" name="KSOTemplateDocerSaveRecord">
    <vt:lpwstr>eyJoZGlkIjoiZThkMzY3NWQ4YTdkY2MzNjA1YzA0MzI3MDU1Zjk2NTQiLCJ1c2VySWQiOiI3ODIwNDgyMjQifQ==</vt:lpwstr>
  </property>
</Properties>
</file>